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656146" w:rsidRDefault="00656146" w:rsidP="00656146">
      <w:pPr>
        <w:rPr>
          <w:rFonts w:asciiTheme="majorBidi" w:hAnsiTheme="majorBidi" w:cstheme="majorBidi"/>
          <w:b/>
          <w:bCs/>
          <w:color w:val="000000"/>
          <w:sz w:val="28"/>
          <w:szCs w:val="28"/>
          <w:shd w:val="clear" w:color="auto" w:fill="FFFFFF"/>
        </w:rPr>
      </w:pPr>
    </w:p>
    <w:p w:rsidR="00BD7685" w:rsidRDefault="00BD7685" w:rsidP="00BD7685">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CA57DE">
        <w:rPr>
          <w:rFonts w:asciiTheme="majorBidi" w:hAnsiTheme="majorBidi" w:cstheme="majorBidi"/>
          <w:b/>
          <w:bCs/>
          <w:sz w:val="28"/>
          <w:szCs w:val="28"/>
        </w:rPr>
        <w:t xml:space="preserve">Effet de l'interférence entre </w:t>
      </w:r>
      <w:proofErr w:type="spellStart"/>
      <w:r w:rsidRPr="00CA57DE">
        <w:rPr>
          <w:rFonts w:asciiTheme="majorBidi" w:hAnsiTheme="majorBidi" w:cstheme="majorBidi"/>
          <w:b/>
          <w:bCs/>
          <w:sz w:val="28"/>
          <w:szCs w:val="28"/>
        </w:rPr>
        <w:t>Eimeria</w:t>
      </w:r>
      <w:proofErr w:type="spellEnd"/>
      <w:r w:rsidRPr="00CA57DE">
        <w:rPr>
          <w:rFonts w:asciiTheme="majorBidi" w:hAnsiTheme="majorBidi" w:cstheme="majorBidi"/>
          <w:b/>
          <w:bCs/>
          <w:sz w:val="28"/>
          <w:szCs w:val="28"/>
        </w:rPr>
        <w:t xml:space="preserve"> et cryptospridium chez le poulet de chair dans la région de Bejaïa</w:t>
      </w:r>
    </w:p>
    <w:p w:rsidR="00BD7685" w:rsidRDefault="00BD7685" w:rsidP="00BD7685">
      <w:pPr>
        <w:jc w:val="both"/>
        <w:rPr>
          <w:rFonts w:asciiTheme="majorBidi" w:hAnsiTheme="majorBidi" w:cstheme="majorBidi"/>
          <w:b/>
          <w:bCs/>
          <w:sz w:val="28"/>
          <w:szCs w:val="28"/>
        </w:rPr>
      </w:pPr>
    </w:p>
    <w:p w:rsidR="00BD7685" w:rsidRDefault="00BD7685" w:rsidP="00BD7685">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BD7685" w:rsidRPr="004D4376" w:rsidRDefault="00BD7685" w:rsidP="00BD7685">
      <w:pPr>
        <w:jc w:val="both"/>
        <w:rPr>
          <w:rFonts w:asciiTheme="majorBidi" w:hAnsiTheme="majorBidi" w:cstheme="majorBidi"/>
          <w:sz w:val="24"/>
          <w:szCs w:val="24"/>
        </w:rPr>
      </w:pPr>
      <w:r w:rsidRPr="004D4376">
        <w:rPr>
          <w:rFonts w:asciiTheme="majorBidi" w:hAnsiTheme="majorBidi" w:cstheme="majorBidi"/>
          <w:sz w:val="24"/>
          <w:szCs w:val="24"/>
        </w:rPr>
        <w:t xml:space="preserve">Les pathologies intestinales du poulet de chair sont dominées, dans le domaine parasitaire, par les coccidioses et les </w:t>
      </w:r>
      <w:proofErr w:type="spellStart"/>
      <w:r w:rsidRPr="004D4376">
        <w:rPr>
          <w:rFonts w:asciiTheme="majorBidi" w:hAnsiTheme="majorBidi" w:cstheme="majorBidi"/>
          <w:sz w:val="24"/>
          <w:szCs w:val="24"/>
        </w:rPr>
        <w:t>cryptosporidioses</w:t>
      </w:r>
      <w:proofErr w:type="spellEnd"/>
      <w:r w:rsidRPr="004D4376">
        <w:rPr>
          <w:rFonts w:asciiTheme="majorBidi" w:hAnsiTheme="majorBidi" w:cstheme="majorBidi"/>
          <w:sz w:val="24"/>
          <w:szCs w:val="24"/>
        </w:rPr>
        <w:t xml:space="preserve">. Le diagnostic de ces pathologies est difficile tant sur le plan clinique en élevage que sur le plan </w:t>
      </w:r>
      <w:proofErr w:type="spellStart"/>
      <w:r w:rsidRPr="004D4376">
        <w:rPr>
          <w:rFonts w:asciiTheme="majorBidi" w:hAnsiTheme="majorBidi" w:cstheme="majorBidi"/>
          <w:sz w:val="24"/>
          <w:szCs w:val="24"/>
        </w:rPr>
        <w:t>nécropsique</w:t>
      </w:r>
      <w:proofErr w:type="spellEnd"/>
      <w:r w:rsidRPr="004D4376">
        <w:rPr>
          <w:rFonts w:asciiTheme="majorBidi" w:hAnsiTheme="majorBidi" w:cstheme="majorBidi"/>
          <w:sz w:val="24"/>
          <w:szCs w:val="24"/>
        </w:rPr>
        <w:t xml:space="preserve"> au laboratoire. La prévalence de l'association entre </w:t>
      </w:r>
      <w:proofErr w:type="spellStart"/>
      <w:r w:rsidRPr="004D4376">
        <w:rPr>
          <w:rFonts w:asciiTheme="majorBidi" w:hAnsiTheme="majorBidi" w:cstheme="majorBidi"/>
          <w:sz w:val="24"/>
          <w:szCs w:val="24"/>
        </w:rPr>
        <w:t>Eimeria</w:t>
      </w:r>
      <w:proofErr w:type="spellEnd"/>
      <w:r w:rsidRPr="004D4376">
        <w:rPr>
          <w:rFonts w:asciiTheme="majorBidi" w:hAnsiTheme="majorBidi" w:cstheme="majorBidi"/>
          <w:sz w:val="24"/>
          <w:szCs w:val="24"/>
        </w:rPr>
        <w:t xml:space="preserve"> et </w:t>
      </w:r>
      <w:proofErr w:type="spellStart"/>
      <w:r w:rsidRPr="004D4376">
        <w:rPr>
          <w:rFonts w:asciiTheme="majorBidi" w:hAnsiTheme="majorBidi" w:cstheme="majorBidi"/>
          <w:sz w:val="24"/>
          <w:szCs w:val="24"/>
        </w:rPr>
        <w:t>Cryptosporidium</w:t>
      </w:r>
      <w:proofErr w:type="spellEnd"/>
      <w:r w:rsidRPr="004D4376">
        <w:rPr>
          <w:rFonts w:asciiTheme="majorBidi" w:hAnsiTheme="majorBidi" w:cstheme="majorBidi"/>
          <w:sz w:val="24"/>
          <w:szCs w:val="24"/>
        </w:rPr>
        <w:t xml:space="preserve"> est déterminée à partir des examens de raclage de la muqueuse intestinale et des fragments intestinaux effectués sur 32 sujets issus de 13 élevages sélectionnés après un diagnostic nécrosique de coccidioses dans la région de Bejaïa. Les résultats font apparaître une forte prévalence, soit 77,78% de coccidioses, 42,22% de </w:t>
      </w:r>
      <w:proofErr w:type="spellStart"/>
      <w:r w:rsidRPr="004D4376">
        <w:rPr>
          <w:rFonts w:asciiTheme="majorBidi" w:hAnsiTheme="majorBidi" w:cstheme="majorBidi"/>
          <w:sz w:val="24"/>
          <w:szCs w:val="24"/>
        </w:rPr>
        <w:t>cryptosporidioses</w:t>
      </w:r>
      <w:proofErr w:type="spellEnd"/>
      <w:r w:rsidRPr="004D4376">
        <w:rPr>
          <w:rFonts w:asciiTheme="majorBidi" w:hAnsiTheme="majorBidi" w:cstheme="majorBidi"/>
          <w:sz w:val="24"/>
          <w:szCs w:val="24"/>
        </w:rPr>
        <w:t xml:space="preserve"> et, dans une moindre mesure, l'association des deux parasites, soit 30%. Bien que cette interférence soit relativement faible, ses effets semblent négligeables.</w:t>
      </w:r>
    </w:p>
    <w:p w:rsidR="00BD7685" w:rsidRDefault="00BD7685" w:rsidP="00BD7685">
      <w:pPr>
        <w:jc w:val="both"/>
        <w:rPr>
          <w:rFonts w:asciiTheme="majorBidi" w:hAnsiTheme="majorBidi" w:cstheme="majorBidi"/>
          <w:sz w:val="24"/>
          <w:szCs w:val="24"/>
        </w:rPr>
      </w:pPr>
    </w:p>
    <w:p w:rsidR="00BD7685" w:rsidRPr="004D4376" w:rsidRDefault="00BD7685" w:rsidP="00BD7685">
      <w:pPr>
        <w:jc w:val="both"/>
        <w:rPr>
          <w:rFonts w:asciiTheme="majorBidi" w:hAnsiTheme="majorBidi" w:cstheme="majorBidi"/>
          <w:sz w:val="24"/>
          <w:szCs w:val="24"/>
        </w:rPr>
      </w:pPr>
    </w:p>
    <w:p w:rsidR="00BD7685" w:rsidRPr="00BD7685" w:rsidRDefault="00BD7685" w:rsidP="00BD7685">
      <w:pPr>
        <w:jc w:val="both"/>
        <w:rPr>
          <w:rFonts w:asciiTheme="majorBidi" w:hAnsiTheme="majorBidi" w:cstheme="majorBidi"/>
          <w:b/>
          <w:bCs/>
          <w:sz w:val="24"/>
          <w:szCs w:val="24"/>
          <w:lang w:val="en-US"/>
        </w:rPr>
      </w:pPr>
      <w:proofErr w:type="gramStart"/>
      <w:r w:rsidRPr="00BD7685">
        <w:rPr>
          <w:rFonts w:asciiTheme="majorBidi" w:hAnsiTheme="majorBidi" w:cstheme="majorBidi"/>
          <w:b/>
          <w:bCs/>
          <w:sz w:val="24"/>
          <w:szCs w:val="24"/>
          <w:lang w:val="en-US"/>
        </w:rPr>
        <w:t>Abstract :</w:t>
      </w:r>
      <w:proofErr w:type="gramEnd"/>
    </w:p>
    <w:p w:rsidR="00BD7685" w:rsidRPr="004D4376" w:rsidRDefault="00BD7685" w:rsidP="00BD7685">
      <w:pPr>
        <w:jc w:val="both"/>
        <w:rPr>
          <w:rFonts w:asciiTheme="majorBidi" w:hAnsiTheme="majorBidi" w:cstheme="majorBidi"/>
          <w:sz w:val="24"/>
          <w:szCs w:val="24"/>
          <w:lang w:val="en-US"/>
        </w:rPr>
      </w:pPr>
      <w:r w:rsidRPr="004D4376">
        <w:rPr>
          <w:rFonts w:asciiTheme="majorBidi" w:hAnsiTheme="majorBidi" w:cstheme="majorBidi"/>
          <w:sz w:val="24"/>
          <w:szCs w:val="24"/>
          <w:lang w:val="en-US"/>
        </w:rPr>
        <w:t xml:space="preserve">Intestinal parasitic pathologies in poultry are dominated by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xml:space="preserve"> and cryptosporidiosis. The diagnosis of these pathologies is difficult from a clinical point of view in the farm and from a necropsy point of view in the laboratory. The prevalence of association between </w:t>
      </w:r>
      <w:proofErr w:type="spellStart"/>
      <w:r w:rsidRPr="004D4376">
        <w:rPr>
          <w:rFonts w:asciiTheme="majorBidi" w:hAnsiTheme="majorBidi" w:cstheme="majorBidi"/>
          <w:sz w:val="24"/>
          <w:szCs w:val="24"/>
          <w:lang w:val="en-US"/>
        </w:rPr>
        <w:t>Eimeria</w:t>
      </w:r>
      <w:proofErr w:type="spellEnd"/>
      <w:r w:rsidRPr="004D4376">
        <w:rPr>
          <w:rFonts w:asciiTheme="majorBidi" w:hAnsiTheme="majorBidi" w:cstheme="majorBidi"/>
          <w:sz w:val="24"/>
          <w:szCs w:val="24"/>
          <w:lang w:val="en-US"/>
        </w:rPr>
        <w:t xml:space="preserve"> and Cryptosporidium was determinate by examinations of intestinal mucosa scrapings and intestinal fragments including 32 broiler chickens in 13 breeding selected after a necropsy diagnosis of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xml:space="preserve"> in </w:t>
      </w:r>
      <w:proofErr w:type="spellStart"/>
      <w:r w:rsidRPr="004D4376">
        <w:rPr>
          <w:rFonts w:asciiTheme="majorBidi" w:hAnsiTheme="majorBidi" w:cstheme="majorBidi"/>
          <w:sz w:val="24"/>
          <w:szCs w:val="24"/>
          <w:lang w:val="en-US"/>
        </w:rPr>
        <w:t>Bejaia</w:t>
      </w:r>
      <w:proofErr w:type="spellEnd"/>
      <w:r w:rsidRPr="004D4376">
        <w:rPr>
          <w:rFonts w:asciiTheme="majorBidi" w:hAnsiTheme="majorBidi" w:cstheme="majorBidi"/>
          <w:sz w:val="24"/>
          <w:szCs w:val="24"/>
          <w:lang w:val="en-US"/>
        </w:rPr>
        <w:t xml:space="preserve">. The results showed a high prevalence 77.78% of </w:t>
      </w:r>
      <w:proofErr w:type="spellStart"/>
      <w:r w:rsidRPr="004D4376">
        <w:rPr>
          <w:rFonts w:asciiTheme="majorBidi" w:hAnsiTheme="majorBidi" w:cstheme="majorBidi"/>
          <w:sz w:val="24"/>
          <w:szCs w:val="24"/>
          <w:lang w:val="en-US"/>
        </w:rPr>
        <w:t>coccidiosis</w:t>
      </w:r>
      <w:proofErr w:type="spellEnd"/>
      <w:r w:rsidRPr="004D4376">
        <w:rPr>
          <w:rFonts w:asciiTheme="majorBidi" w:hAnsiTheme="majorBidi" w:cstheme="majorBidi"/>
          <w:sz w:val="24"/>
          <w:szCs w:val="24"/>
          <w:lang w:val="en-US"/>
        </w:rPr>
        <w:t>, 42.22% of cryptosporidiosis, and to a lesser extent of associations of 30%. Though this interference is low, the effects seem negligible</w:t>
      </w:r>
    </w:p>
    <w:p w:rsidR="00EA1BD4" w:rsidRPr="00656146" w:rsidRDefault="00EA1BD4" w:rsidP="00BD7685">
      <w:pPr>
        <w:jc w:val="both"/>
        <w:rPr>
          <w:rFonts w:ascii="Times New Roman" w:eastAsia="Times New Roman" w:hAnsi="Times New Roman" w:cs="Times New Roman"/>
          <w:color w:val="000000"/>
          <w:sz w:val="24"/>
          <w:szCs w:val="24"/>
          <w:lang w:val="en-US"/>
        </w:rPr>
      </w:pPr>
    </w:p>
    <w:sectPr w:rsidR="00EA1BD4" w:rsidRPr="00656146"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8B5"/>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07D62"/>
    <w:rsid w:val="00414245"/>
    <w:rsid w:val="0042414B"/>
    <w:rsid w:val="00441707"/>
    <w:rsid w:val="0044209E"/>
    <w:rsid w:val="00444A63"/>
    <w:rsid w:val="004472DE"/>
    <w:rsid w:val="004505A4"/>
    <w:rsid w:val="00463845"/>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56146"/>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4201"/>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D7685"/>
    <w:rsid w:val="00BF4488"/>
    <w:rsid w:val="00C00254"/>
    <w:rsid w:val="00C137DA"/>
    <w:rsid w:val="00C15D8E"/>
    <w:rsid w:val="00C3235E"/>
    <w:rsid w:val="00C33C8B"/>
    <w:rsid w:val="00C55ED5"/>
    <w:rsid w:val="00C67CCD"/>
    <w:rsid w:val="00C711CB"/>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38C3"/>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1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139</cp:revision>
  <dcterms:created xsi:type="dcterms:W3CDTF">2021-02-10T08:14:00Z</dcterms:created>
  <dcterms:modified xsi:type="dcterms:W3CDTF">2021-03-02T08:22:00Z</dcterms:modified>
</cp:coreProperties>
</file>