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28171A" w:rsidRPr="0028171A" w:rsidRDefault="0038268C" w:rsidP="0028171A">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28171A" w:rsidRPr="0028171A">
        <w:rPr>
          <w:rFonts w:asciiTheme="majorBidi" w:hAnsiTheme="majorBidi" w:cstheme="majorBidi"/>
          <w:b/>
          <w:bCs/>
          <w:sz w:val="28"/>
          <w:szCs w:val="28"/>
        </w:rPr>
        <w:t>Apport de l’autopsie dans le diagnostic des pathologies aviaires</w:t>
      </w:r>
    </w:p>
    <w:p w:rsidR="0028171A" w:rsidRDefault="0028171A" w:rsidP="0028171A"/>
    <w:p w:rsidR="003F77FB" w:rsidRPr="003F77FB" w:rsidRDefault="003F77FB" w:rsidP="0028171A">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28171A" w:rsidRPr="0028171A" w:rsidRDefault="0028171A" w:rsidP="0028171A">
      <w:pPr>
        <w:rPr>
          <w:rFonts w:asciiTheme="majorBidi" w:hAnsiTheme="majorBidi" w:cstheme="majorBidi"/>
          <w:sz w:val="24"/>
          <w:szCs w:val="24"/>
        </w:rPr>
      </w:pPr>
      <w:r w:rsidRPr="0028171A">
        <w:rPr>
          <w:rFonts w:asciiTheme="majorBidi" w:hAnsiTheme="majorBidi" w:cstheme="majorBidi"/>
          <w:sz w:val="24"/>
          <w:szCs w:val="24"/>
        </w:rPr>
        <w:t xml:space="preserve">Notre approche des maladies aviaires porte sur 38 sujets, prélevés d’élevages avicoles privés, dans les wilayas d’Alger et d’Ain </w:t>
      </w:r>
      <w:proofErr w:type="spellStart"/>
      <w:r w:rsidRPr="0028171A">
        <w:rPr>
          <w:rFonts w:asciiTheme="majorBidi" w:hAnsiTheme="majorBidi" w:cstheme="majorBidi"/>
          <w:sz w:val="24"/>
          <w:szCs w:val="24"/>
        </w:rPr>
        <w:t>Defla</w:t>
      </w:r>
      <w:proofErr w:type="spellEnd"/>
      <w:r w:rsidRPr="0028171A">
        <w:rPr>
          <w:rFonts w:asciiTheme="majorBidi" w:hAnsiTheme="majorBidi" w:cstheme="majorBidi"/>
          <w:sz w:val="24"/>
          <w:szCs w:val="24"/>
        </w:rPr>
        <w:t xml:space="preserve">. Le processus analytique suivi s’inscrit dans une élaboration du cadre théorique dans lequel sont examinés les caractéristiques des pathologies aviaires ayant servi de base à l’examen clinique et </w:t>
      </w:r>
      <w:proofErr w:type="spellStart"/>
      <w:r w:rsidRPr="0028171A">
        <w:rPr>
          <w:rFonts w:asciiTheme="majorBidi" w:hAnsiTheme="majorBidi" w:cstheme="majorBidi"/>
          <w:sz w:val="24"/>
          <w:szCs w:val="24"/>
        </w:rPr>
        <w:t>nécropsique</w:t>
      </w:r>
      <w:proofErr w:type="spellEnd"/>
      <w:r w:rsidRPr="0028171A">
        <w:rPr>
          <w:rFonts w:asciiTheme="majorBidi" w:hAnsiTheme="majorBidi" w:cstheme="majorBidi"/>
          <w:sz w:val="24"/>
          <w:szCs w:val="24"/>
        </w:rPr>
        <w:t xml:space="preserve"> pour identifier les pathologies en question dans les échantillons d’analyse. Cette méthode de travail a permis de suspecter un certain nombre de maladies. Ces dernières sont explicitées dans le corpus du mémoire.</w:t>
      </w:r>
    </w:p>
    <w:p w:rsidR="0028171A" w:rsidRPr="0028171A" w:rsidRDefault="0028171A" w:rsidP="0028171A">
      <w:pPr>
        <w:rPr>
          <w:rFonts w:asciiTheme="majorBidi" w:hAnsiTheme="majorBidi" w:cstheme="majorBidi"/>
          <w:sz w:val="24"/>
          <w:szCs w:val="24"/>
        </w:rPr>
      </w:pPr>
    </w:p>
    <w:p w:rsidR="0028171A" w:rsidRPr="0028171A" w:rsidRDefault="0028171A" w:rsidP="0028171A">
      <w:pPr>
        <w:rPr>
          <w:rFonts w:asciiTheme="majorBidi" w:hAnsiTheme="majorBidi" w:cstheme="majorBidi"/>
          <w:b/>
          <w:bCs/>
          <w:sz w:val="24"/>
          <w:szCs w:val="24"/>
        </w:rPr>
      </w:pPr>
      <w:r w:rsidRPr="0028171A">
        <w:rPr>
          <w:rFonts w:asciiTheme="majorBidi" w:hAnsiTheme="majorBidi" w:cstheme="majorBidi"/>
          <w:b/>
          <w:bCs/>
          <w:sz w:val="24"/>
          <w:szCs w:val="24"/>
        </w:rPr>
        <w:t>Abstract:</w:t>
      </w:r>
    </w:p>
    <w:p w:rsidR="00DF3BB5" w:rsidRPr="0002213C" w:rsidRDefault="0028171A" w:rsidP="0028171A">
      <w:pPr>
        <w:rPr>
          <w:rFonts w:asciiTheme="majorBidi" w:hAnsiTheme="majorBidi" w:cstheme="majorBidi"/>
          <w:sz w:val="24"/>
          <w:szCs w:val="24"/>
          <w:lang w:val="en-US"/>
        </w:rPr>
      </w:pPr>
      <w:r w:rsidRPr="0028171A">
        <w:rPr>
          <w:rFonts w:asciiTheme="majorBidi" w:hAnsiTheme="majorBidi" w:cstheme="majorBidi"/>
          <w:sz w:val="24"/>
          <w:szCs w:val="24"/>
          <w:lang w:val="en-US"/>
        </w:rPr>
        <w:t xml:space="preserve">Our approach to avian diseases covers 38 subjects, taken from private poultry farms, in the wilayas of Algiers and Ain Defla. The analytical process followed is part of a development of the theoretical framework in which the characteristics are examined for avian diseases that formed the basis of clinical examination and necropsy to identify the diseases in question in the samples analyzed. This working method has allowed </w:t>
      </w:r>
      <w:proofErr w:type="gramStart"/>
      <w:r w:rsidRPr="0028171A">
        <w:rPr>
          <w:rFonts w:asciiTheme="majorBidi" w:hAnsiTheme="majorBidi" w:cstheme="majorBidi"/>
          <w:sz w:val="24"/>
          <w:szCs w:val="24"/>
          <w:lang w:val="en-US"/>
        </w:rPr>
        <w:t>to suspect</w:t>
      </w:r>
      <w:proofErr w:type="gramEnd"/>
      <w:r w:rsidRPr="0028171A">
        <w:rPr>
          <w:rFonts w:asciiTheme="majorBidi" w:hAnsiTheme="majorBidi" w:cstheme="majorBidi"/>
          <w:sz w:val="24"/>
          <w:szCs w:val="24"/>
          <w:lang w:val="en-US"/>
        </w:rPr>
        <w:t xml:space="preserve"> a number of diseases. </w:t>
      </w:r>
      <w:proofErr w:type="spellStart"/>
      <w:r w:rsidRPr="0028171A">
        <w:rPr>
          <w:rFonts w:asciiTheme="majorBidi" w:hAnsiTheme="majorBidi" w:cstheme="majorBidi"/>
          <w:sz w:val="24"/>
          <w:szCs w:val="24"/>
        </w:rPr>
        <w:t>These</w:t>
      </w:r>
      <w:proofErr w:type="spellEnd"/>
      <w:r w:rsidRPr="0028171A">
        <w:rPr>
          <w:rFonts w:asciiTheme="majorBidi" w:hAnsiTheme="majorBidi" w:cstheme="majorBidi"/>
          <w:sz w:val="24"/>
          <w:szCs w:val="24"/>
        </w:rPr>
        <w:t xml:space="preserve"> are </w:t>
      </w:r>
      <w:proofErr w:type="spellStart"/>
      <w:r w:rsidRPr="0028171A">
        <w:rPr>
          <w:rFonts w:asciiTheme="majorBidi" w:hAnsiTheme="majorBidi" w:cstheme="majorBidi"/>
          <w:sz w:val="24"/>
          <w:szCs w:val="24"/>
        </w:rPr>
        <w:t>explained</w:t>
      </w:r>
      <w:proofErr w:type="spellEnd"/>
      <w:r w:rsidRPr="0028171A">
        <w:rPr>
          <w:rFonts w:asciiTheme="majorBidi" w:hAnsiTheme="majorBidi" w:cstheme="majorBidi"/>
          <w:sz w:val="24"/>
          <w:szCs w:val="24"/>
        </w:rPr>
        <w:t xml:space="preserve"> in the body of </w:t>
      </w:r>
      <w:proofErr w:type="spellStart"/>
      <w:r w:rsidRPr="0028171A">
        <w:rPr>
          <w:rFonts w:asciiTheme="majorBidi" w:hAnsiTheme="majorBidi" w:cstheme="majorBidi"/>
          <w:sz w:val="24"/>
          <w:szCs w:val="24"/>
        </w:rPr>
        <w:t>memory</w:t>
      </w:r>
      <w:proofErr w:type="spellEnd"/>
      <w:r w:rsidRPr="0028171A">
        <w:rPr>
          <w:rFonts w:asciiTheme="majorBidi" w:hAnsiTheme="majorBidi" w:cstheme="majorBidi"/>
          <w:sz w:val="24"/>
          <w:szCs w:val="24"/>
        </w:rPr>
        <w:t>.</w:t>
      </w:r>
    </w:p>
    <w:sectPr w:rsidR="00DF3BB5" w:rsidRPr="0002213C"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A613B"/>
    <w:rsid w:val="008B1528"/>
    <w:rsid w:val="008C06F3"/>
    <w:rsid w:val="008C337A"/>
    <w:rsid w:val="008D5534"/>
    <w:rsid w:val="008D7A61"/>
    <w:rsid w:val="008E3767"/>
    <w:rsid w:val="008F63E3"/>
    <w:rsid w:val="00910F96"/>
    <w:rsid w:val="00922A4A"/>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1</Pages>
  <Words>180</Words>
  <Characters>995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91</cp:revision>
  <dcterms:created xsi:type="dcterms:W3CDTF">2020-01-20T08:03:00Z</dcterms:created>
  <dcterms:modified xsi:type="dcterms:W3CDTF">2021-03-21T09:22:00Z</dcterms:modified>
</cp:coreProperties>
</file>