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6" w:rsidRDefault="001B3597" w:rsidP="00522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52296D" w:rsidRPr="0052296D">
        <w:rPr>
          <w:rFonts w:ascii="Times New Roman" w:hAnsi="Times New Roman" w:cs="Times New Roman"/>
          <w:b/>
          <w:bCs/>
          <w:sz w:val="28"/>
          <w:szCs w:val="28"/>
        </w:rPr>
        <w:t>Contribution à l'étude des principaux motifs de saisie chez les bovins et les ovins dans quatre établissements d'abattage nationaux</w:t>
      </w:r>
    </w:p>
    <w:p w:rsidR="006A74D3" w:rsidRDefault="006A74D3" w:rsidP="006A74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A567C9" w:rsidRPr="00A567C9" w:rsidRDefault="00A567C9" w:rsidP="00A567C9">
      <w:pPr>
        <w:jc w:val="both"/>
        <w:rPr>
          <w:rFonts w:asciiTheme="majorBidi" w:hAnsiTheme="majorBidi" w:cstheme="majorBidi"/>
          <w:sz w:val="24"/>
          <w:szCs w:val="24"/>
        </w:rPr>
      </w:pPr>
      <w:r w:rsidRPr="00A567C9">
        <w:rPr>
          <w:rFonts w:asciiTheme="majorBidi" w:hAnsiTheme="majorBidi" w:cstheme="majorBidi"/>
          <w:sz w:val="24"/>
          <w:szCs w:val="24"/>
        </w:rPr>
        <w:t xml:space="preserve">L’objet de ce travail est l’étude des motifs de saisies dans quatre établissements d’abattage, de localisation et de statut différents, deux tueries et deux abattoirs situés à </w:t>
      </w:r>
      <w:proofErr w:type="spellStart"/>
      <w:r w:rsidRPr="00A567C9">
        <w:rPr>
          <w:rFonts w:asciiTheme="majorBidi" w:hAnsiTheme="majorBidi" w:cstheme="majorBidi"/>
          <w:sz w:val="24"/>
          <w:szCs w:val="24"/>
        </w:rPr>
        <w:t>Thenia</w:t>
      </w:r>
      <w:proofErr w:type="spellEnd"/>
      <w:r w:rsidRPr="00A567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67C9">
        <w:rPr>
          <w:rFonts w:asciiTheme="majorBidi" w:hAnsiTheme="majorBidi" w:cstheme="majorBidi"/>
          <w:sz w:val="24"/>
          <w:szCs w:val="24"/>
        </w:rPr>
        <w:t>Rouiba</w:t>
      </w:r>
      <w:proofErr w:type="spellEnd"/>
      <w:r w:rsidRPr="00A567C9">
        <w:rPr>
          <w:rFonts w:asciiTheme="majorBidi" w:hAnsiTheme="majorBidi" w:cstheme="majorBidi"/>
          <w:sz w:val="24"/>
          <w:szCs w:val="24"/>
        </w:rPr>
        <w:t xml:space="preserve">, Ait- </w:t>
      </w:r>
      <w:proofErr w:type="spellStart"/>
      <w:r w:rsidRPr="00A567C9">
        <w:rPr>
          <w:rFonts w:asciiTheme="majorBidi" w:hAnsiTheme="majorBidi" w:cstheme="majorBidi"/>
          <w:sz w:val="24"/>
          <w:szCs w:val="24"/>
        </w:rPr>
        <w:t>rzine</w:t>
      </w:r>
      <w:proofErr w:type="spellEnd"/>
      <w:r w:rsidRPr="00A567C9">
        <w:rPr>
          <w:rFonts w:asciiTheme="majorBidi" w:hAnsiTheme="majorBidi" w:cstheme="majorBidi"/>
          <w:sz w:val="24"/>
          <w:szCs w:val="24"/>
        </w:rPr>
        <w:t xml:space="preserve"> et Boussaâda. En dehors de l’épidémie de la fièvre aphteuse, la douve et le kyste hydatique représentent les principaux motifs de saisie chez les bovins avec des valeurs respectives de 60%, 37,5%. Pour l’espèce ovine le kyste hydatique d’origine parasitaire est le principal motif de saisie avec un taux de 82,33%, les abcès d’origine infectieuse occupent la deuxième position avec un pourcentage de 64,48%. Ces résultats montrent que beaucoup de travail reste à faire, surtout en matière de prophylaxie et de réglementation dans les établissements d’abattage, afin d’obtenir une denrée salubre, propre à la consommation humaine et atteindre un niveau acceptable de santé de notre cheptel.</w:t>
      </w:r>
    </w:p>
    <w:p w:rsidR="00A567C9" w:rsidRPr="00A567C9" w:rsidRDefault="00A567C9" w:rsidP="00A567C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567C9" w:rsidRPr="00A567C9" w:rsidRDefault="00A567C9" w:rsidP="00A567C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67C9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A567C9" w:rsidRDefault="00A567C9" w:rsidP="00A567C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The aim of this work is the study of patterns of seizure in four establishments of slaughter, of location and different status, two killings and two slaughterhouses located in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Thenia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Rouiba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Bousaada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Aith-</w:t>
      </w:r>
      <w:proofErr w:type="gramStart"/>
      <w:r w:rsidRPr="00A567C9">
        <w:rPr>
          <w:rFonts w:asciiTheme="majorBidi" w:hAnsiTheme="majorBidi" w:cstheme="majorBidi"/>
          <w:sz w:val="24"/>
          <w:szCs w:val="24"/>
          <w:lang w:val="en-US"/>
        </w:rPr>
        <w:t>rzine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But regardless of foot and mouth disease,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567C9">
        <w:rPr>
          <w:rFonts w:asciiTheme="majorBidi" w:hAnsiTheme="majorBidi" w:cstheme="majorBidi"/>
          <w:sz w:val="24"/>
          <w:szCs w:val="24"/>
          <w:lang w:val="en-US"/>
        </w:rPr>
        <w:t>hydatid</w:t>
      </w:r>
      <w:proofErr w:type="spell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cyst represent the </w:t>
      </w:r>
      <w:proofErr w:type="gramStart"/>
      <w:r w:rsidRPr="00A567C9">
        <w:rPr>
          <w:rFonts w:asciiTheme="majorBidi" w:hAnsiTheme="majorBidi" w:cstheme="majorBidi"/>
          <w:sz w:val="24"/>
          <w:szCs w:val="24"/>
          <w:lang w:val="en-US"/>
        </w:rPr>
        <w:t>principals</w:t>
      </w:r>
      <w:proofErr w:type="gramEnd"/>
      <w:r w:rsidRPr="00A567C9">
        <w:rPr>
          <w:rFonts w:asciiTheme="majorBidi" w:hAnsiTheme="majorBidi" w:cstheme="majorBidi"/>
          <w:sz w:val="24"/>
          <w:szCs w:val="24"/>
          <w:lang w:val="en-US"/>
        </w:rPr>
        <w:t xml:space="preserve"> patterns of seizure with respective values of 60% and 37, 5% in cattle. For sheep, the parasitic cyst is the main patterns of seizure with a rate of 82</w:t>
      </w:r>
      <w:proofErr w:type="gramStart"/>
      <w:r w:rsidRPr="00A567C9">
        <w:rPr>
          <w:rFonts w:asciiTheme="majorBidi" w:hAnsiTheme="majorBidi" w:cstheme="majorBidi"/>
          <w:sz w:val="24"/>
          <w:szCs w:val="24"/>
          <w:lang w:val="en-US"/>
        </w:rPr>
        <w:t>,33</w:t>
      </w:r>
      <w:proofErr w:type="gramEnd"/>
      <w:r w:rsidRPr="00A567C9">
        <w:rPr>
          <w:rFonts w:asciiTheme="majorBidi" w:hAnsiTheme="majorBidi" w:cstheme="majorBidi"/>
          <w:sz w:val="24"/>
          <w:szCs w:val="24"/>
          <w:lang w:val="en-US"/>
        </w:rPr>
        <w:t>%, the infectious abscesses are in the second position with a rate of 64,48% These results indicate that much remains to be done, especially regarding prophylactic measures and regulations in slaughterhouses, in order to obtain a healthy and safe commodity, fit for human consumption and above all to achieve an acceptable level of health of our livestock.</w:t>
      </w:r>
    </w:p>
    <w:sectPr w:rsidR="00014BDB" w:rsidRPr="00A567C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90020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2296D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67D36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587E"/>
    <w:rsid w:val="00CC6A19"/>
    <w:rsid w:val="00CD3FBF"/>
    <w:rsid w:val="00CD6945"/>
    <w:rsid w:val="00D038A5"/>
    <w:rsid w:val="00D06E52"/>
    <w:rsid w:val="00D53FD0"/>
    <w:rsid w:val="00D541C4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381</cp:revision>
  <dcterms:created xsi:type="dcterms:W3CDTF">2019-12-10T12:38:00Z</dcterms:created>
  <dcterms:modified xsi:type="dcterms:W3CDTF">2020-01-21T07:48:00Z</dcterms:modified>
</cp:coreProperties>
</file>