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A1229E" w:rsidRDefault="0038268C" w:rsidP="00B26A97">
      <w:pPr>
        <w:autoSpaceDE w:val="0"/>
        <w:autoSpaceDN w:val="0"/>
        <w:adjustRightInd w:val="0"/>
        <w:spacing w:after="0" w:line="240" w:lineRule="auto"/>
        <w:rPr>
          <w:rFonts w:ascii="Times New Roman" w:hAnsi="Times New Roman" w:cs="Times New Roman"/>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B26A97" w:rsidRPr="00B26A97">
        <w:rPr>
          <w:rFonts w:ascii="Times New Roman" w:hAnsi="Times New Roman" w:cs="Times New Roman"/>
          <w:b/>
          <w:bCs/>
          <w:sz w:val="28"/>
          <w:szCs w:val="28"/>
        </w:rPr>
        <w:t>Contribution a l’</w:t>
      </w:r>
      <w:proofErr w:type="spellStart"/>
      <w:r w:rsidR="00B26A97" w:rsidRPr="00B26A97">
        <w:rPr>
          <w:rFonts w:ascii="Times New Roman" w:hAnsi="Times New Roman" w:cs="Times New Roman"/>
          <w:b/>
          <w:bCs/>
          <w:sz w:val="28"/>
          <w:szCs w:val="28"/>
        </w:rPr>
        <w:t>etude</w:t>
      </w:r>
      <w:proofErr w:type="spellEnd"/>
      <w:r w:rsidR="00B26A97" w:rsidRPr="00B26A97">
        <w:rPr>
          <w:rFonts w:ascii="Times New Roman" w:hAnsi="Times New Roman" w:cs="Times New Roman"/>
          <w:b/>
          <w:bCs/>
          <w:sz w:val="28"/>
          <w:szCs w:val="28"/>
        </w:rPr>
        <w:t xml:space="preserve"> de l’influence de l'</w:t>
      </w:r>
      <w:proofErr w:type="spellStart"/>
      <w:r w:rsidR="00B26A97" w:rsidRPr="00B26A97">
        <w:rPr>
          <w:rFonts w:ascii="Times New Roman" w:hAnsi="Times New Roman" w:cs="Times New Roman"/>
          <w:b/>
          <w:bCs/>
          <w:sz w:val="28"/>
          <w:szCs w:val="28"/>
        </w:rPr>
        <w:t>etape</w:t>
      </w:r>
      <w:proofErr w:type="spellEnd"/>
      <w:r w:rsidR="00B26A97" w:rsidRPr="00B26A97">
        <w:rPr>
          <w:rFonts w:ascii="Times New Roman" w:hAnsi="Times New Roman" w:cs="Times New Roman"/>
          <w:b/>
          <w:bCs/>
          <w:sz w:val="28"/>
          <w:szCs w:val="28"/>
        </w:rPr>
        <w:t xml:space="preserve"> d’</w:t>
      </w:r>
      <w:proofErr w:type="spellStart"/>
      <w:r w:rsidR="00B26A97" w:rsidRPr="00B26A97">
        <w:rPr>
          <w:rFonts w:ascii="Times New Roman" w:hAnsi="Times New Roman" w:cs="Times New Roman"/>
          <w:b/>
          <w:bCs/>
          <w:sz w:val="28"/>
          <w:szCs w:val="28"/>
        </w:rPr>
        <w:t>evisceration</w:t>
      </w:r>
      <w:proofErr w:type="spellEnd"/>
      <w:r w:rsidR="00B26A97" w:rsidRPr="00B26A97">
        <w:rPr>
          <w:rFonts w:ascii="Times New Roman" w:hAnsi="Times New Roman" w:cs="Times New Roman"/>
          <w:b/>
          <w:bCs/>
          <w:sz w:val="28"/>
          <w:szCs w:val="28"/>
        </w:rPr>
        <w:t xml:space="preserve"> sur la </w:t>
      </w:r>
      <w:proofErr w:type="spellStart"/>
      <w:r w:rsidR="00B26A97" w:rsidRPr="00B26A97">
        <w:rPr>
          <w:rFonts w:ascii="Times New Roman" w:hAnsi="Times New Roman" w:cs="Times New Roman"/>
          <w:b/>
          <w:bCs/>
          <w:sz w:val="28"/>
          <w:szCs w:val="28"/>
        </w:rPr>
        <w:t>proliferation</w:t>
      </w:r>
      <w:proofErr w:type="spellEnd"/>
      <w:r w:rsidR="00B26A97" w:rsidRPr="00B26A97">
        <w:rPr>
          <w:rFonts w:ascii="Times New Roman" w:hAnsi="Times New Roman" w:cs="Times New Roman"/>
          <w:b/>
          <w:bCs/>
          <w:sz w:val="28"/>
          <w:szCs w:val="28"/>
        </w:rPr>
        <w:t xml:space="preserve"> des </w:t>
      </w:r>
      <w:proofErr w:type="spellStart"/>
      <w:r w:rsidR="00B26A97" w:rsidRPr="00B26A97">
        <w:rPr>
          <w:rFonts w:ascii="Times New Roman" w:hAnsi="Times New Roman" w:cs="Times New Roman"/>
          <w:b/>
          <w:bCs/>
          <w:sz w:val="28"/>
          <w:szCs w:val="28"/>
        </w:rPr>
        <w:t>campylobacter</w:t>
      </w:r>
      <w:proofErr w:type="spellEnd"/>
      <w:r w:rsidR="00B26A97" w:rsidRPr="00B26A97">
        <w:rPr>
          <w:rFonts w:ascii="Times New Roman" w:hAnsi="Times New Roman" w:cs="Times New Roman"/>
          <w:b/>
          <w:bCs/>
          <w:sz w:val="28"/>
          <w:szCs w:val="28"/>
        </w:rPr>
        <w:t xml:space="preserve"> </w:t>
      </w:r>
      <w:proofErr w:type="spellStart"/>
      <w:r w:rsidR="00B26A97" w:rsidRPr="00B26A97">
        <w:rPr>
          <w:rFonts w:ascii="Times New Roman" w:hAnsi="Times New Roman" w:cs="Times New Roman"/>
          <w:b/>
          <w:bCs/>
          <w:sz w:val="28"/>
          <w:szCs w:val="28"/>
        </w:rPr>
        <w:t>thermotolerants</w:t>
      </w:r>
      <w:proofErr w:type="spellEnd"/>
      <w:r w:rsidR="00B26A97" w:rsidRPr="00B26A97">
        <w:rPr>
          <w:rFonts w:ascii="Times New Roman" w:hAnsi="Times New Roman" w:cs="Times New Roman"/>
          <w:b/>
          <w:bCs/>
          <w:sz w:val="28"/>
          <w:szCs w:val="28"/>
        </w:rPr>
        <w:t xml:space="preserve"> chez le poulet de chair (</w:t>
      </w:r>
      <w:r w:rsidR="00B26A97">
        <w:rPr>
          <w:rFonts w:ascii="Times New Roman" w:hAnsi="Times New Roman" w:cs="Times New Roman"/>
          <w:b/>
          <w:bCs/>
          <w:sz w:val="28"/>
          <w:szCs w:val="28"/>
        </w:rPr>
        <w:t>A</w:t>
      </w:r>
      <w:r w:rsidR="00B26A97" w:rsidRPr="00B26A97">
        <w:rPr>
          <w:rFonts w:ascii="Times New Roman" w:hAnsi="Times New Roman" w:cs="Times New Roman"/>
          <w:b/>
          <w:bCs/>
          <w:sz w:val="28"/>
          <w:szCs w:val="28"/>
        </w:rPr>
        <w:t>lger)</w:t>
      </w:r>
    </w:p>
    <w:p w:rsidR="00B579D0" w:rsidRDefault="00B579D0" w:rsidP="00B26A97">
      <w:pPr>
        <w:autoSpaceDE w:val="0"/>
        <w:autoSpaceDN w:val="0"/>
        <w:adjustRightInd w:val="0"/>
        <w:spacing w:after="0" w:line="240" w:lineRule="auto"/>
        <w:rPr>
          <w:rFonts w:ascii="Times New Roman" w:hAnsi="Times New Roman" w:cs="Times New Roman"/>
          <w:b/>
          <w:bCs/>
          <w:sz w:val="28"/>
          <w:szCs w:val="28"/>
        </w:rPr>
      </w:pPr>
    </w:p>
    <w:p w:rsidR="00B26A97" w:rsidRDefault="00B26A97" w:rsidP="00B26A97">
      <w:pPr>
        <w:autoSpaceDE w:val="0"/>
        <w:autoSpaceDN w:val="0"/>
        <w:adjustRightInd w:val="0"/>
        <w:spacing w:after="0" w:line="240" w:lineRule="auto"/>
        <w:rPr>
          <w:rFonts w:ascii="Times New Roman" w:hAnsi="Times New Roman" w:cs="Times New Roman"/>
          <w:b/>
          <w:bCs/>
          <w:sz w:val="28"/>
          <w:szCs w:val="28"/>
        </w:rPr>
      </w:pPr>
    </w:p>
    <w:p w:rsidR="00330D36" w:rsidRDefault="003F77FB" w:rsidP="002646E2">
      <w:pPr>
        <w:autoSpaceDE w:val="0"/>
        <w:autoSpaceDN w:val="0"/>
        <w:adjustRightInd w:val="0"/>
        <w:spacing w:after="0" w:line="240" w:lineRule="auto"/>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4728F" w:rsidRPr="007C1B1D" w:rsidRDefault="00D4728F" w:rsidP="00D4728F">
      <w:pPr>
        <w:autoSpaceDE w:val="0"/>
        <w:autoSpaceDN w:val="0"/>
        <w:adjustRightInd w:val="0"/>
        <w:spacing w:after="0" w:line="240" w:lineRule="auto"/>
        <w:rPr>
          <w:rFonts w:asciiTheme="majorBidi" w:hAnsiTheme="majorBidi" w:cstheme="majorBidi"/>
          <w:b/>
          <w:bCs/>
          <w:sz w:val="24"/>
          <w:szCs w:val="24"/>
        </w:rPr>
      </w:pPr>
    </w:p>
    <w:p w:rsidR="00B26A97" w:rsidRPr="00B26A97" w:rsidRDefault="00B26A97" w:rsidP="00B26A97">
      <w:pPr>
        <w:spacing w:after="0"/>
        <w:ind w:right="-142"/>
        <w:jc w:val="highKashida"/>
        <w:rPr>
          <w:rFonts w:asciiTheme="majorBidi" w:hAnsiTheme="majorBidi" w:cstheme="majorBidi"/>
          <w:sz w:val="24"/>
          <w:szCs w:val="24"/>
        </w:rPr>
      </w:pPr>
      <w:r w:rsidRPr="00B26A97">
        <w:rPr>
          <w:rFonts w:asciiTheme="majorBidi" w:hAnsiTheme="majorBidi" w:cstheme="majorBidi"/>
          <w:sz w:val="24"/>
          <w:szCs w:val="24"/>
        </w:rPr>
        <w:t xml:space="preserve">Les toxi-infections alimentaires à </w:t>
      </w:r>
      <w:proofErr w:type="spellStart"/>
      <w:r w:rsidRPr="00B26A97">
        <w:rPr>
          <w:rFonts w:asciiTheme="majorBidi" w:hAnsiTheme="majorBidi" w:cstheme="majorBidi"/>
          <w:sz w:val="24"/>
          <w:szCs w:val="24"/>
        </w:rPr>
        <w:t>Campylobacter</w:t>
      </w:r>
      <w:proofErr w:type="spellEnd"/>
      <w:r w:rsidRPr="00B26A97">
        <w:rPr>
          <w:rFonts w:asciiTheme="majorBidi" w:hAnsiTheme="majorBidi" w:cstheme="majorBidi"/>
          <w:sz w:val="24"/>
          <w:szCs w:val="24"/>
        </w:rPr>
        <w:t xml:space="preserve"> constituent une des causes les plus fréquentes de maladies intestinales d’origine bactérienne dans le monde. La principale voie de transmission de cette bactérie zoonotique à l’homme est l’ingestion ou la manipulation de viande de volaille contaminée par cette bactérie. L’objectif de notre étude est d’estimer la prévalence des </w:t>
      </w:r>
      <w:proofErr w:type="spellStart"/>
      <w:r w:rsidRPr="00B26A97">
        <w:rPr>
          <w:rFonts w:asciiTheme="majorBidi" w:hAnsiTheme="majorBidi" w:cstheme="majorBidi"/>
          <w:sz w:val="24"/>
          <w:szCs w:val="24"/>
        </w:rPr>
        <w:t>Campylobacter</w:t>
      </w:r>
      <w:proofErr w:type="spellEnd"/>
      <w:r w:rsidRPr="00B26A97">
        <w:rPr>
          <w:rFonts w:asciiTheme="majorBidi" w:hAnsiTheme="majorBidi" w:cstheme="majorBidi"/>
          <w:sz w:val="24"/>
          <w:szCs w:val="24"/>
        </w:rPr>
        <w:t xml:space="preserve"> </w:t>
      </w:r>
      <w:proofErr w:type="spellStart"/>
      <w:r w:rsidRPr="00B26A97">
        <w:rPr>
          <w:rFonts w:asciiTheme="majorBidi" w:hAnsiTheme="majorBidi" w:cstheme="majorBidi"/>
          <w:sz w:val="24"/>
          <w:szCs w:val="24"/>
        </w:rPr>
        <w:t>thermotolérants</w:t>
      </w:r>
      <w:proofErr w:type="spellEnd"/>
      <w:r w:rsidRPr="00B26A97">
        <w:rPr>
          <w:rFonts w:asciiTheme="majorBidi" w:hAnsiTheme="majorBidi" w:cstheme="majorBidi"/>
          <w:sz w:val="24"/>
          <w:szCs w:val="24"/>
        </w:rPr>
        <w:t xml:space="preserve"> chez la volaille dans un abattoir situé dans la région d’Alger. Un total de 45 prélèvements de peaux de cou réparti en 15 échantillons est récolté après l’étape d’éviscération à partir de 3 lots de poulets de chair provenant de 2 régions différentes. Nos résultats révèlent que 86,67% (n=13/15) des échantillons analysés sont positifs pour les </w:t>
      </w:r>
      <w:proofErr w:type="spellStart"/>
      <w:r w:rsidRPr="00B26A97">
        <w:rPr>
          <w:rFonts w:asciiTheme="majorBidi" w:hAnsiTheme="majorBidi" w:cstheme="majorBidi"/>
          <w:sz w:val="24"/>
          <w:szCs w:val="24"/>
        </w:rPr>
        <w:t>Campylobacter</w:t>
      </w:r>
      <w:proofErr w:type="spellEnd"/>
      <w:r w:rsidRPr="00B26A97">
        <w:rPr>
          <w:rFonts w:asciiTheme="majorBidi" w:hAnsiTheme="majorBidi" w:cstheme="majorBidi"/>
          <w:sz w:val="24"/>
          <w:szCs w:val="24"/>
        </w:rPr>
        <w:t xml:space="preserve"> </w:t>
      </w:r>
      <w:proofErr w:type="spellStart"/>
      <w:r w:rsidRPr="00B26A97">
        <w:rPr>
          <w:rFonts w:asciiTheme="majorBidi" w:hAnsiTheme="majorBidi" w:cstheme="majorBidi"/>
          <w:sz w:val="24"/>
          <w:szCs w:val="24"/>
        </w:rPr>
        <w:t>thermotolérants</w:t>
      </w:r>
      <w:proofErr w:type="spellEnd"/>
      <w:r w:rsidRPr="00B26A97">
        <w:rPr>
          <w:rFonts w:asciiTheme="majorBidi" w:hAnsiTheme="majorBidi" w:cstheme="majorBidi"/>
          <w:sz w:val="24"/>
          <w:szCs w:val="24"/>
        </w:rPr>
        <w:t xml:space="preserve">. Les espèces identifiées, sont essentiellement C. </w:t>
      </w:r>
      <w:proofErr w:type="spellStart"/>
      <w:r w:rsidRPr="00B26A97">
        <w:rPr>
          <w:rFonts w:asciiTheme="majorBidi" w:hAnsiTheme="majorBidi" w:cstheme="majorBidi"/>
          <w:sz w:val="24"/>
          <w:szCs w:val="24"/>
        </w:rPr>
        <w:t>jejuni</w:t>
      </w:r>
      <w:proofErr w:type="spellEnd"/>
      <w:r w:rsidRPr="00B26A97">
        <w:rPr>
          <w:rFonts w:asciiTheme="majorBidi" w:hAnsiTheme="majorBidi" w:cstheme="majorBidi"/>
          <w:sz w:val="24"/>
          <w:szCs w:val="24"/>
        </w:rPr>
        <w:t xml:space="preserve"> (81,82%, n=9/11) et dans une moindre mesure C. coli (18,18%, n=2/11). L’évaluation du risque des </w:t>
      </w:r>
      <w:proofErr w:type="spellStart"/>
      <w:r w:rsidRPr="00B26A97">
        <w:rPr>
          <w:rFonts w:asciiTheme="majorBidi" w:hAnsiTheme="majorBidi" w:cstheme="majorBidi"/>
          <w:sz w:val="24"/>
          <w:szCs w:val="24"/>
        </w:rPr>
        <w:t>Campylobacter</w:t>
      </w:r>
      <w:proofErr w:type="spellEnd"/>
      <w:r w:rsidRPr="00B26A97">
        <w:rPr>
          <w:rFonts w:asciiTheme="majorBidi" w:hAnsiTheme="majorBidi" w:cstheme="majorBidi"/>
          <w:sz w:val="24"/>
          <w:szCs w:val="24"/>
        </w:rPr>
        <w:t xml:space="preserve"> s’avère comme pour tout autre risque zoonotique alimentaire primordiale, et ce, afin de connaitre l’impact en santé publique de ce danger et d’orienter les choix de maîtrise et de gestion liés à ce pathogène au niveau de la chaîne alimentaire.</w:t>
      </w:r>
    </w:p>
    <w:p w:rsidR="00B26A97" w:rsidRPr="00B26A97" w:rsidRDefault="00B26A97" w:rsidP="00B26A97">
      <w:pPr>
        <w:spacing w:after="0"/>
        <w:ind w:right="-142"/>
        <w:jc w:val="highKashida"/>
        <w:rPr>
          <w:rFonts w:asciiTheme="majorBidi" w:hAnsiTheme="majorBidi" w:cstheme="majorBidi"/>
          <w:sz w:val="24"/>
          <w:szCs w:val="24"/>
        </w:rPr>
      </w:pPr>
    </w:p>
    <w:p w:rsidR="00B26A97" w:rsidRPr="00B26A97" w:rsidRDefault="00B26A97" w:rsidP="00B26A97">
      <w:pPr>
        <w:spacing w:after="0"/>
        <w:ind w:right="-142"/>
        <w:jc w:val="highKashida"/>
        <w:rPr>
          <w:rFonts w:asciiTheme="majorBidi" w:hAnsiTheme="majorBidi" w:cstheme="majorBidi"/>
          <w:sz w:val="24"/>
          <w:szCs w:val="24"/>
        </w:rPr>
      </w:pPr>
    </w:p>
    <w:p w:rsidR="00B26A97" w:rsidRPr="00B26A97" w:rsidRDefault="00B26A97" w:rsidP="00B26A97">
      <w:pPr>
        <w:spacing w:after="0"/>
        <w:ind w:right="-142"/>
        <w:jc w:val="highKashida"/>
        <w:rPr>
          <w:rFonts w:asciiTheme="majorBidi" w:hAnsiTheme="majorBidi" w:cstheme="majorBidi"/>
          <w:sz w:val="24"/>
          <w:szCs w:val="24"/>
        </w:rPr>
      </w:pPr>
    </w:p>
    <w:p w:rsidR="00B26A97" w:rsidRPr="00B579D0" w:rsidRDefault="00B26A97" w:rsidP="00B26A97">
      <w:pPr>
        <w:spacing w:after="0"/>
        <w:ind w:right="-142"/>
        <w:jc w:val="highKashida"/>
        <w:rPr>
          <w:rFonts w:asciiTheme="majorBidi" w:hAnsiTheme="majorBidi" w:cstheme="majorBidi"/>
          <w:sz w:val="24"/>
          <w:szCs w:val="24"/>
          <w:lang w:val="en-US"/>
        </w:rPr>
      </w:pPr>
      <w:r w:rsidRPr="00B579D0">
        <w:rPr>
          <w:rFonts w:asciiTheme="majorBidi" w:hAnsiTheme="majorBidi" w:cstheme="majorBidi"/>
          <w:b/>
          <w:bCs/>
          <w:sz w:val="24"/>
          <w:szCs w:val="24"/>
          <w:lang w:val="en-US"/>
        </w:rPr>
        <w:t>Abstract</w:t>
      </w:r>
      <w:r w:rsidRPr="00B579D0">
        <w:rPr>
          <w:rFonts w:asciiTheme="majorBidi" w:hAnsiTheme="majorBidi" w:cstheme="majorBidi"/>
          <w:sz w:val="24"/>
          <w:szCs w:val="24"/>
          <w:lang w:val="en-US"/>
        </w:rPr>
        <w:t xml:space="preserve"> :</w:t>
      </w:r>
    </w:p>
    <w:p w:rsidR="00B26A97" w:rsidRPr="00B579D0" w:rsidRDefault="00B26A97" w:rsidP="00B26A97">
      <w:pPr>
        <w:spacing w:after="0"/>
        <w:ind w:right="-142"/>
        <w:jc w:val="highKashida"/>
        <w:rPr>
          <w:rFonts w:asciiTheme="majorBidi" w:hAnsiTheme="majorBidi" w:cstheme="majorBidi"/>
          <w:sz w:val="24"/>
          <w:szCs w:val="24"/>
          <w:lang w:val="en-US"/>
        </w:rPr>
      </w:pPr>
    </w:p>
    <w:p w:rsidR="006A0C78" w:rsidRPr="00B26A97" w:rsidRDefault="00B26A97" w:rsidP="00B26A97">
      <w:pPr>
        <w:spacing w:after="0"/>
        <w:ind w:right="-142"/>
        <w:jc w:val="highKashida"/>
        <w:rPr>
          <w:rFonts w:asciiTheme="majorBidi" w:hAnsiTheme="majorBidi" w:cstheme="majorBidi"/>
          <w:sz w:val="24"/>
          <w:szCs w:val="24"/>
          <w:lang w:val="en-US"/>
        </w:rPr>
      </w:pPr>
      <w:r w:rsidRPr="00B26A97">
        <w:rPr>
          <w:rFonts w:asciiTheme="majorBidi" w:hAnsiTheme="majorBidi" w:cstheme="majorBidi"/>
          <w:sz w:val="24"/>
          <w:szCs w:val="24"/>
          <w:lang w:val="en-US"/>
        </w:rPr>
        <w:t xml:space="preserve">Campylobacter </w:t>
      </w:r>
      <w:proofErr w:type="spellStart"/>
      <w:r w:rsidRPr="00B26A97">
        <w:rPr>
          <w:rFonts w:asciiTheme="majorBidi" w:hAnsiTheme="majorBidi" w:cstheme="majorBidi"/>
          <w:sz w:val="24"/>
          <w:szCs w:val="24"/>
          <w:lang w:val="en-US"/>
        </w:rPr>
        <w:t>foodborne</w:t>
      </w:r>
      <w:proofErr w:type="spellEnd"/>
      <w:r w:rsidRPr="00B26A97">
        <w:rPr>
          <w:rFonts w:asciiTheme="majorBidi" w:hAnsiTheme="majorBidi" w:cstheme="majorBidi"/>
          <w:sz w:val="24"/>
          <w:szCs w:val="24"/>
          <w:lang w:val="en-US"/>
        </w:rPr>
        <w:t xml:space="preserve"> infections are one of the most common causes of bacterial intestinal diseases worldwide. The main vehicle of transmission of this </w:t>
      </w:r>
      <w:proofErr w:type="spellStart"/>
      <w:r w:rsidRPr="00B26A97">
        <w:rPr>
          <w:rFonts w:asciiTheme="majorBidi" w:hAnsiTheme="majorBidi" w:cstheme="majorBidi"/>
          <w:sz w:val="24"/>
          <w:szCs w:val="24"/>
          <w:lang w:val="en-US"/>
        </w:rPr>
        <w:t>zoonotic</w:t>
      </w:r>
      <w:proofErr w:type="spellEnd"/>
      <w:r w:rsidRPr="00B26A97">
        <w:rPr>
          <w:rFonts w:asciiTheme="majorBidi" w:hAnsiTheme="majorBidi" w:cstheme="majorBidi"/>
          <w:sz w:val="24"/>
          <w:szCs w:val="24"/>
          <w:lang w:val="en-US"/>
        </w:rPr>
        <w:t xml:space="preserve"> bacterium to humans is the ingestion or handling of poultry meat contaminated by this bacterium. The objective of our study is to estimate the prevalence of </w:t>
      </w:r>
      <w:proofErr w:type="spellStart"/>
      <w:r w:rsidRPr="00B26A97">
        <w:rPr>
          <w:rFonts w:asciiTheme="majorBidi" w:hAnsiTheme="majorBidi" w:cstheme="majorBidi"/>
          <w:sz w:val="24"/>
          <w:szCs w:val="24"/>
          <w:lang w:val="en-US"/>
        </w:rPr>
        <w:t>thermotolerant</w:t>
      </w:r>
      <w:proofErr w:type="spellEnd"/>
      <w:r w:rsidRPr="00B26A97">
        <w:rPr>
          <w:rFonts w:asciiTheme="majorBidi" w:hAnsiTheme="majorBidi" w:cstheme="majorBidi"/>
          <w:sz w:val="24"/>
          <w:szCs w:val="24"/>
          <w:lang w:val="en-US"/>
        </w:rPr>
        <w:t xml:space="preserve"> Campylobacter of broiler chickens sampled from a poultry slaughterhouse located in the region of Algiers. A total of 45 specimens of neck skins divided into 15 samples were collected after the evisceration stage from 3 batches of broilers originating from 2 different regions. Our results revealed that 86.67% (n=13/15) of the analyzed samples are positive for </w:t>
      </w:r>
      <w:proofErr w:type="spellStart"/>
      <w:r w:rsidRPr="00B26A97">
        <w:rPr>
          <w:rFonts w:asciiTheme="majorBidi" w:hAnsiTheme="majorBidi" w:cstheme="majorBidi"/>
          <w:sz w:val="24"/>
          <w:szCs w:val="24"/>
          <w:lang w:val="en-US"/>
        </w:rPr>
        <w:t>thermotolerant</w:t>
      </w:r>
      <w:proofErr w:type="spellEnd"/>
      <w:r w:rsidRPr="00B26A97">
        <w:rPr>
          <w:rFonts w:asciiTheme="majorBidi" w:hAnsiTheme="majorBidi" w:cstheme="majorBidi"/>
          <w:sz w:val="24"/>
          <w:szCs w:val="24"/>
          <w:lang w:val="en-US"/>
        </w:rPr>
        <w:t xml:space="preserve"> Campylobacter. The identified species are mainly </w:t>
      </w:r>
      <w:proofErr w:type="spellStart"/>
      <w:r w:rsidRPr="00B26A97">
        <w:rPr>
          <w:rFonts w:asciiTheme="majorBidi" w:hAnsiTheme="majorBidi" w:cstheme="majorBidi"/>
          <w:sz w:val="24"/>
          <w:szCs w:val="24"/>
          <w:lang w:val="en-US"/>
        </w:rPr>
        <w:t>C.jejuni</w:t>
      </w:r>
      <w:proofErr w:type="spellEnd"/>
      <w:r w:rsidRPr="00B26A97">
        <w:rPr>
          <w:rFonts w:asciiTheme="majorBidi" w:hAnsiTheme="majorBidi" w:cstheme="majorBidi"/>
          <w:sz w:val="24"/>
          <w:szCs w:val="24"/>
          <w:lang w:val="en-US"/>
        </w:rPr>
        <w:t xml:space="preserve"> (81.82%, n=9/11) and to a lesser extent </w:t>
      </w:r>
      <w:proofErr w:type="spellStart"/>
      <w:r w:rsidRPr="00B26A97">
        <w:rPr>
          <w:rFonts w:asciiTheme="majorBidi" w:hAnsiTheme="majorBidi" w:cstheme="majorBidi"/>
          <w:sz w:val="24"/>
          <w:szCs w:val="24"/>
          <w:lang w:val="en-US"/>
        </w:rPr>
        <w:t>C.coli</w:t>
      </w:r>
      <w:proofErr w:type="spellEnd"/>
      <w:r w:rsidRPr="00B26A97">
        <w:rPr>
          <w:rFonts w:asciiTheme="majorBidi" w:hAnsiTheme="majorBidi" w:cstheme="majorBidi"/>
          <w:sz w:val="24"/>
          <w:szCs w:val="24"/>
          <w:lang w:val="en-US"/>
        </w:rPr>
        <w:t xml:space="preserve"> (18.18%, n=2/11). Campylobacter risk assessment is carried out as for any other primary </w:t>
      </w:r>
      <w:proofErr w:type="spellStart"/>
      <w:r w:rsidRPr="00B26A97">
        <w:rPr>
          <w:rFonts w:asciiTheme="majorBidi" w:hAnsiTheme="majorBidi" w:cstheme="majorBidi"/>
          <w:sz w:val="24"/>
          <w:szCs w:val="24"/>
          <w:lang w:val="en-US"/>
        </w:rPr>
        <w:t>foodborne</w:t>
      </w:r>
      <w:proofErr w:type="spellEnd"/>
      <w:r w:rsidRPr="00B26A97">
        <w:rPr>
          <w:rFonts w:asciiTheme="majorBidi" w:hAnsiTheme="majorBidi" w:cstheme="majorBidi"/>
          <w:sz w:val="24"/>
          <w:szCs w:val="24"/>
          <w:lang w:val="en-US"/>
        </w:rPr>
        <w:t xml:space="preserve"> </w:t>
      </w:r>
      <w:proofErr w:type="spellStart"/>
      <w:r w:rsidRPr="00B26A97">
        <w:rPr>
          <w:rFonts w:asciiTheme="majorBidi" w:hAnsiTheme="majorBidi" w:cstheme="majorBidi"/>
          <w:sz w:val="24"/>
          <w:szCs w:val="24"/>
          <w:lang w:val="en-US"/>
        </w:rPr>
        <w:t>zoonotic</w:t>
      </w:r>
      <w:proofErr w:type="spellEnd"/>
      <w:r w:rsidRPr="00B26A97">
        <w:rPr>
          <w:rFonts w:asciiTheme="majorBidi" w:hAnsiTheme="majorBidi" w:cstheme="majorBidi"/>
          <w:sz w:val="24"/>
          <w:szCs w:val="24"/>
          <w:lang w:val="en-US"/>
        </w:rPr>
        <w:t xml:space="preserve"> risk in order to know the public health impact of this hazard and to guide the control and management choices related to this pathogen at the level of the food chain.</w:t>
      </w:r>
    </w:p>
    <w:sectPr w:rsidR="006A0C78" w:rsidRPr="00B26A97"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C635A"/>
    <w:rsid w:val="000D3200"/>
    <w:rsid w:val="000D7FBB"/>
    <w:rsid w:val="000E3079"/>
    <w:rsid w:val="000F0DFF"/>
    <w:rsid w:val="000F5178"/>
    <w:rsid w:val="000F56F8"/>
    <w:rsid w:val="0010020E"/>
    <w:rsid w:val="0010030A"/>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3614E"/>
    <w:rsid w:val="00341894"/>
    <w:rsid w:val="003425E5"/>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082"/>
    <w:rsid w:val="003A243E"/>
    <w:rsid w:val="003A36D6"/>
    <w:rsid w:val="003A67C9"/>
    <w:rsid w:val="003B0725"/>
    <w:rsid w:val="003B2982"/>
    <w:rsid w:val="003B4CC3"/>
    <w:rsid w:val="003B4EF4"/>
    <w:rsid w:val="003C209C"/>
    <w:rsid w:val="003C6426"/>
    <w:rsid w:val="003C7EB6"/>
    <w:rsid w:val="003D24EB"/>
    <w:rsid w:val="003D2F40"/>
    <w:rsid w:val="003D4CC5"/>
    <w:rsid w:val="003D5423"/>
    <w:rsid w:val="003F084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6F8D"/>
    <w:rsid w:val="00454408"/>
    <w:rsid w:val="00471212"/>
    <w:rsid w:val="0047264B"/>
    <w:rsid w:val="0047732D"/>
    <w:rsid w:val="0048041B"/>
    <w:rsid w:val="004921A4"/>
    <w:rsid w:val="004A4E5D"/>
    <w:rsid w:val="004B5E63"/>
    <w:rsid w:val="004C2892"/>
    <w:rsid w:val="004D12E1"/>
    <w:rsid w:val="004D324E"/>
    <w:rsid w:val="004E0B7A"/>
    <w:rsid w:val="004E33C4"/>
    <w:rsid w:val="004F23B5"/>
    <w:rsid w:val="004F2CAD"/>
    <w:rsid w:val="0050050E"/>
    <w:rsid w:val="00506D12"/>
    <w:rsid w:val="005133E8"/>
    <w:rsid w:val="0052335D"/>
    <w:rsid w:val="00526932"/>
    <w:rsid w:val="0053572D"/>
    <w:rsid w:val="005507FD"/>
    <w:rsid w:val="00551444"/>
    <w:rsid w:val="00551D1B"/>
    <w:rsid w:val="00552825"/>
    <w:rsid w:val="00555A86"/>
    <w:rsid w:val="00556AA8"/>
    <w:rsid w:val="00556C67"/>
    <w:rsid w:val="00570839"/>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D6AFE"/>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0C78"/>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041AB"/>
    <w:rsid w:val="007120D3"/>
    <w:rsid w:val="00716ABD"/>
    <w:rsid w:val="00733174"/>
    <w:rsid w:val="00737FE8"/>
    <w:rsid w:val="00741AEF"/>
    <w:rsid w:val="00747A74"/>
    <w:rsid w:val="00747DE0"/>
    <w:rsid w:val="00747E43"/>
    <w:rsid w:val="00747EA0"/>
    <w:rsid w:val="0075654F"/>
    <w:rsid w:val="00766557"/>
    <w:rsid w:val="007753AC"/>
    <w:rsid w:val="00783AF8"/>
    <w:rsid w:val="007905AD"/>
    <w:rsid w:val="007909F5"/>
    <w:rsid w:val="00790CD2"/>
    <w:rsid w:val="007A29B5"/>
    <w:rsid w:val="007B10D4"/>
    <w:rsid w:val="007B4A5E"/>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766D4"/>
    <w:rsid w:val="008829DF"/>
    <w:rsid w:val="008960C3"/>
    <w:rsid w:val="008A38DE"/>
    <w:rsid w:val="008A4DCB"/>
    <w:rsid w:val="008A7585"/>
    <w:rsid w:val="008B1528"/>
    <w:rsid w:val="008C06F3"/>
    <w:rsid w:val="008C337A"/>
    <w:rsid w:val="008C76F0"/>
    <w:rsid w:val="008D5534"/>
    <w:rsid w:val="008D7A61"/>
    <w:rsid w:val="008E3767"/>
    <w:rsid w:val="008F63E3"/>
    <w:rsid w:val="009040D2"/>
    <w:rsid w:val="00910F96"/>
    <w:rsid w:val="00925544"/>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078"/>
    <w:rsid w:val="009E4C96"/>
    <w:rsid w:val="009E56FD"/>
    <w:rsid w:val="009F0F75"/>
    <w:rsid w:val="00A00E3E"/>
    <w:rsid w:val="00A1229E"/>
    <w:rsid w:val="00A17875"/>
    <w:rsid w:val="00A32A5D"/>
    <w:rsid w:val="00A363E1"/>
    <w:rsid w:val="00A40C23"/>
    <w:rsid w:val="00A46E24"/>
    <w:rsid w:val="00A5014B"/>
    <w:rsid w:val="00A559D1"/>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8DE"/>
    <w:rsid w:val="00B14A0C"/>
    <w:rsid w:val="00B22821"/>
    <w:rsid w:val="00B23220"/>
    <w:rsid w:val="00B26A97"/>
    <w:rsid w:val="00B35169"/>
    <w:rsid w:val="00B443BC"/>
    <w:rsid w:val="00B517CF"/>
    <w:rsid w:val="00B51CA6"/>
    <w:rsid w:val="00B52772"/>
    <w:rsid w:val="00B52B2E"/>
    <w:rsid w:val="00B56099"/>
    <w:rsid w:val="00B579D0"/>
    <w:rsid w:val="00B647E7"/>
    <w:rsid w:val="00B66041"/>
    <w:rsid w:val="00B80FDD"/>
    <w:rsid w:val="00B83A07"/>
    <w:rsid w:val="00B919A9"/>
    <w:rsid w:val="00B9490D"/>
    <w:rsid w:val="00B958BE"/>
    <w:rsid w:val="00B95D48"/>
    <w:rsid w:val="00B970E0"/>
    <w:rsid w:val="00BB0C36"/>
    <w:rsid w:val="00BB1282"/>
    <w:rsid w:val="00BB1FDB"/>
    <w:rsid w:val="00BB2A3B"/>
    <w:rsid w:val="00BC7416"/>
    <w:rsid w:val="00BD2720"/>
    <w:rsid w:val="00BD3DD4"/>
    <w:rsid w:val="00BD67AB"/>
    <w:rsid w:val="00BE09E1"/>
    <w:rsid w:val="00BE10FE"/>
    <w:rsid w:val="00BE6185"/>
    <w:rsid w:val="00BE7859"/>
    <w:rsid w:val="00BF10A4"/>
    <w:rsid w:val="00C04500"/>
    <w:rsid w:val="00C0477D"/>
    <w:rsid w:val="00C04F54"/>
    <w:rsid w:val="00C116E2"/>
    <w:rsid w:val="00C15369"/>
    <w:rsid w:val="00C25DE1"/>
    <w:rsid w:val="00C3156B"/>
    <w:rsid w:val="00C50556"/>
    <w:rsid w:val="00C531EE"/>
    <w:rsid w:val="00C57A33"/>
    <w:rsid w:val="00C6087E"/>
    <w:rsid w:val="00C6473F"/>
    <w:rsid w:val="00C6528B"/>
    <w:rsid w:val="00C66AE9"/>
    <w:rsid w:val="00C66D83"/>
    <w:rsid w:val="00C71D60"/>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4728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67CBA"/>
    <w:rsid w:val="00E73412"/>
    <w:rsid w:val="00E8348F"/>
    <w:rsid w:val="00E85515"/>
    <w:rsid w:val="00E916E8"/>
    <w:rsid w:val="00E93855"/>
    <w:rsid w:val="00E9497B"/>
    <w:rsid w:val="00EA70AF"/>
    <w:rsid w:val="00EB08AB"/>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383</Words>
  <Characters>2110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Pret. 2</cp:lastModifiedBy>
  <cp:revision>15</cp:revision>
  <dcterms:created xsi:type="dcterms:W3CDTF">2020-12-06T08:27:00Z</dcterms:created>
  <dcterms:modified xsi:type="dcterms:W3CDTF">2021-04-18T10:16:00Z</dcterms:modified>
</cp:coreProperties>
</file>