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A" w:rsidRDefault="0038268C" w:rsidP="00E24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E24F0E" w:rsidRPr="00E24F0E">
        <w:rPr>
          <w:rFonts w:ascii="Times New Roman" w:hAnsi="Times New Roman" w:cs="Times New Roman"/>
          <w:b/>
          <w:bCs/>
          <w:sz w:val="28"/>
          <w:szCs w:val="28"/>
        </w:rPr>
        <w:t>Dystocies bovines</w:t>
      </w:r>
    </w:p>
    <w:p w:rsidR="00E24F0E" w:rsidRDefault="00E24F0E" w:rsidP="00E24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BA" w:rsidRDefault="00607CBA" w:rsidP="0060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07CBA" w:rsidRDefault="00D7322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D7322A">
        <w:rPr>
          <w:rFonts w:asciiTheme="majorBidi" w:hAnsiTheme="majorBidi" w:cstheme="majorBidi"/>
          <w:sz w:val="24"/>
          <w:szCs w:val="24"/>
        </w:rPr>
        <w:t xml:space="preserve">Cette présente étude se propose à décrire toutes les formes de dystocies, les facteurs influençant, les difficultés de vêlage et quelques observations cliniques. Il est certain que lorsque les troupeaux de bovins avant leur alimentation </w:t>
      </w:r>
      <w:proofErr w:type="gramStart"/>
      <w:r w:rsidRPr="00D7322A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D7322A">
        <w:rPr>
          <w:rFonts w:asciiTheme="majorBidi" w:hAnsiTheme="majorBidi" w:cstheme="majorBidi"/>
          <w:sz w:val="24"/>
          <w:szCs w:val="24"/>
        </w:rPr>
        <w:t xml:space="preserve"> suffisance assurée pendant toute l'année et que leur état sanitaire sera surveillé, les sujets à production élevés montreront leurs capacités.</w:t>
      </w:r>
    </w:p>
    <w:p w:rsidR="00D7322A" w:rsidRPr="00560FB0" w:rsidRDefault="00D7322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1B4A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7322A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24F0E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16</cp:revision>
  <dcterms:created xsi:type="dcterms:W3CDTF">2020-12-06T08:27:00Z</dcterms:created>
  <dcterms:modified xsi:type="dcterms:W3CDTF">2021-05-30T08:52:00Z</dcterms:modified>
</cp:coreProperties>
</file>