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1B" w:rsidRDefault="00C1021B" w:rsidP="00C1021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C1021B">
        <w:rPr>
          <w:rFonts w:asciiTheme="majorBidi" w:hAnsiTheme="majorBidi" w:cstheme="majorBidi"/>
          <w:b/>
          <w:bCs/>
          <w:color w:val="000000"/>
          <w:sz w:val="28"/>
          <w:szCs w:val="28"/>
          <w:shd w:val="clear" w:color="auto" w:fill="FFFFFF"/>
        </w:rPr>
        <w:t>Baroudi</w:t>
      </w:r>
      <w:proofErr w:type="spellEnd"/>
      <w:r w:rsidRPr="00C1021B">
        <w:rPr>
          <w:rFonts w:asciiTheme="majorBidi" w:hAnsiTheme="majorBidi" w:cstheme="majorBidi"/>
          <w:b/>
          <w:bCs/>
          <w:color w:val="000000"/>
          <w:sz w:val="28"/>
          <w:szCs w:val="28"/>
          <w:shd w:val="clear" w:color="auto" w:fill="FFFFFF"/>
        </w:rPr>
        <w:t xml:space="preserve"> Djamel</w:t>
      </w:r>
    </w:p>
    <w:p w:rsidR="00C1021B" w:rsidRDefault="00C1021B" w:rsidP="00C1021B">
      <w:pPr>
        <w:jc w:val="center"/>
        <w:rPr>
          <w:rFonts w:asciiTheme="majorBidi" w:hAnsiTheme="majorBidi" w:cstheme="majorBidi"/>
          <w:b/>
          <w:bCs/>
          <w:color w:val="000000"/>
          <w:sz w:val="28"/>
          <w:szCs w:val="28"/>
          <w:shd w:val="clear" w:color="auto" w:fill="FFFFFF"/>
        </w:rPr>
      </w:pPr>
      <w:r w:rsidRPr="00C1021B">
        <w:rPr>
          <w:rFonts w:asciiTheme="majorBidi" w:hAnsiTheme="majorBidi" w:cstheme="majorBidi"/>
          <w:b/>
          <w:bCs/>
          <w:color w:val="000000"/>
          <w:sz w:val="28"/>
          <w:szCs w:val="28"/>
          <w:shd w:val="clear" w:color="auto" w:fill="FFFFFF"/>
        </w:rPr>
        <w:t xml:space="preserve">La </w:t>
      </w:r>
      <w:proofErr w:type="spellStart"/>
      <w:r w:rsidRPr="00C1021B">
        <w:rPr>
          <w:rFonts w:asciiTheme="majorBidi" w:hAnsiTheme="majorBidi" w:cstheme="majorBidi"/>
          <w:b/>
          <w:bCs/>
          <w:color w:val="000000"/>
          <w:sz w:val="28"/>
          <w:szCs w:val="28"/>
          <w:shd w:val="clear" w:color="auto" w:fill="FFFFFF"/>
        </w:rPr>
        <w:t>cryptosporidiose</w:t>
      </w:r>
      <w:proofErr w:type="spellEnd"/>
      <w:r w:rsidRPr="00C1021B">
        <w:rPr>
          <w:rFonts w:asciiTheme="majorBidi" w:hAnsiTheme="majorBidi" w:cstheme="majorBidi"/>
          <w:b/>
          <w:bCs/>
          <w:color w:val="000000"/>
          <w:sz w:val="28"/>
          <w:szCs w:val="28"/>
          <w:shd w:val="clear" w:color="auto" w:fill="FFFFFF"/>
        </w:rPr>
        <w:t xml:space="preserve"> bovine dans certaines fermes d’Alger et de ses environs et s</w:t>
      </w:r>
      <w:r>
        <w:rPr>
          <w:rFonts w:asciiTheme="majorBidi" w:hAnsiTheme="majorBidi" w:cstheme="majorBidi"/>
          <w:b/>
          <w:bCs/>
          <w:color w:val="000000"/>
          <w:sz w:val="28"/>
          <w:szCs w:val="28"/>
          <w:shd w:val="clear" w:color="auto" w:fill="FFFFFF"/>
        </w:rPr>
        <w:t xml:space="preserve">on impact sur la sante humaine </w:t>
      </w:r>
    </w:p>
    <w:p w:rsidR="00C1021B" w:rsidRDefault="00C1021B" w:rsidP="00C1021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05</w:t>
      </w:r>
    </w:p>
    <w:p w:rsidR="00C1021B" w:rsidRDefault="00C1021B" w:rsidP="00C1021B">
      <w:pPr>
        <w:rPr>
          <w:rFonts w:asciiTheme="majorBidi" w:hAnsiTheme="majorBidi" w:cstheme="majorBidi"/>
          <w:b/>
          <w:bCs/>
          <w:sz w:val="24"/>
          <w:szCs w:val="24"/>
        </w:rPr>
      </w:pPr>
    </w:p>
    <w:p w:rsidR="00C1021B" w:rsidRDefault="00C1021B" w:rsidP="00C1021B">
      <w:pPr>
        <w:rPr>
          <w:rFonts w:asciiTheme="majorBidi" w:hAnsiTheme="majorBidi" w:cstheme="majorBidi"/>
          <w:sz w:val="24"/>
          <w:szCs w:val="24"/>
        </w:rPr>
      </w:pPr>
      <w:r w:rsidRPr="00C1021B">
        <w:rPr>
          <w:rFonts w:asciiTheme="majorBidi" w:hAnsiTheme="majorBidi" w:cstheme="majorBidi"/>
          <w:b/>
          <w:bCs/>
          <w:sz w:val="24"/>
          <w:szCs w:val="24"/>
        </w:rPr>
        <w:t>Résumé</w:t>
      </w:r>
      <w:r w:rsidRPr="00C1021B">
        <w:rPr>
          <w:rFonts w:asciiTheme="majorBidi" w:hAnsiTheme="majorBidi" w:cstheme="majorBidi"/>
          <w:sz w:val="24"/>
          <w:szCs w:val="24"/>
        </w:rPr>
        <w:t xml:space="preserve"> : </w:t>
      </w:r>
    </w:p>
    <w:p w:rsidR="00C1021B" w:rsidRDefault="00C1021B" w:rsidP="00C1021B">
      <w:pPr>
        <w:rPr>
          <w:rFonts w:asciiTheme="majorBidi" w:hAnsiTheme="majorBidi" w:cstheme="majorBidi"/>
          <w:sz w:val="24"/>
          <w:szCs w:val="24"/>
          <w:lang w:val="en-US"/>
        </w:rPr>
      </w:pPr>
      <w:r w:rsidRPr="00C1021B">
        <w:rPr>
          <w:rFonts w:asciiTheme="majorBidi" w:hAnsiTheme="majorBidi" w:cstheme="majorBidi"/>
          <w:sz w:val="24"/>
          <w:szCs w:val="24"/>
        </w:rPr>
        <w:t xml:space="preserve">Dans la période allant de janvier à octobre 2005, une enquête épidémiologique portant sur la recherche des cryptosporidies a été menée. 454 échantillons de </w:t>
      </w:r>
      <w:proofErr w:type="spellStart"/>
      <w:r w:rsidRPr="00C1021B">
        <w:rPr>
          <w:rFonts w:asciiTheme="majorBidi" w:hAnsiTheme="majorBidi" w:cstheme="majorBidi"/>
          <w:sz w:val="24"/>
          <w:szCs w:val="24"/>
        </w:rPr>
        <w:t>féces</w:t>
      </w:r>
      <w:proofErr w:type="spellEnd"/>
      <w:r w:rsidRPr="00C1021B">
        <w:rPr>
          <w:rFonts w:asciiTheme="majorBidi" w:hAnsiTheme="majorBidi" w:cstheme="majorBidi"/>
          <w:sz w:val="24"/>
          <w:szCs w:val="24"/>
        </w:rPr>
        <w:t xml:space="preserve"> de veaux issus de 33 fermes réparties sur 03 régions, Tipaza, Alger et </w:t>
      </w:r>
      <w:proofErr w:type="spellStart"/>
      <w:r w:rsidRPr="00C1021B">
        <w:rPr>
          <w:rFonts w:asciiTheme="majorBidi" w:hAnsiTheme="majorBidi" w:cstheme="majorBidi"/>
          <w:sz w:val="24"/>
          <w:szCs w:val="24"/>
        </w:rPr>
        <w:t>Boumerdes</w:t>
      </w:r>
      <w:proofErr w:type="spellEnd"/>
      <w:r w:rsidRPr="00C1021B">
        <w:rPr>
          <w:rFonts w:asciiTheme="majorBidi" w:hAnsiTheme="majorBidi" w:cstheme="majorBidi"/>
          <w:sz w:val="24"/>
          <w:szCs w:val="24"/>
        </w:rPr>
        <w:t xml:space="preserve"> ont été effectués. 19 prélèvements de matières fécales humains et 18 échantillons d’eaux ont été réalisés également et analysés, ceci pour démontrer le caractère zoonotique de la </w:t>
      </w:r>
      <w:proofErr w:type="spellStart"/>
      <w:r w:rsidRPr="00C1021B">
        <w:rPr>
          <w:rFonts w:asciiTheme="majorBidi" w:hAnsiTheme="majorBidi" w:cstheme="majorBidi"/>
          <w:sz w:val="24"/>
          <w:szCs w:val="24"/>
        </w:rPr>
        <w:t>cryptosporidiose</w:t>
      </w:r>
      <w:proofErr w:type="spellEnd"/>
      <w:r w:rsidRPr="00C1021B">
        <w:rPr>
          <w:rFonts w:asciiTheme="majorBidi" w:hAnsiTheme="majorBidi" w:cstheme="majorBidi"/>
          <w:sz w:val="24"/>
          <w:szCs w:val="24"/>
        </w:rPr>
        <w:t xml:space="preserve">. A l’issue de cette étude, sur les 454 prélèvements, 193 étaient diarrhéiques soit 42,5 % et 261 non diarrhéiques soit 57,48 %. Parmi les prélèvements diarrhéiques 123 étaient positifs au </w:t>
      </w:r>
      <w:proofErr w:type="spellStart"/>
      <w:r w:rsidRPr="00C1021B">
        <w:rPr>
          <w:rFonts w:asciiTheme="majorBidi" w:hAnsiTheme="majorBidi" w:cstheme="majorBidi"/>
          <w:sz w:val="24"/>
          <w:szCs w:val="24"/>
        </w:rPr>
        <w:t>Cryptosporidium</w:t>
      </w:r>
      <w:proofErr w:type="spellEnd"/>
      <w:r w:rsidRPr="00C1021B">
        <w:rPr>
          <w:rFonts w:asciiTheme="majorBidi" w:hAnsiTheme="majorBidi" w:cstheme="majorBidi"/>
          <w:sz w:val="24"/>
          <w:szCs w:val="24"/>
        </w:rPr>
        <w:t xml:space="preserve"> soit 63,73 % et 94 étaient positifs pour les selles non diarrhéiques soit 36,01 %. L’âge des animaux semble jouer un rôle primordial. En </w:t>
      </w:r>
      <w:proofErr w:type="gramStart"/>
      <w:r w:rsidRPr="00C1021B">
        <w:rPr>
          <w:rFonts w:asciiTheme="majorBidi" w:hAnsiTheme="majorBidi" w:cstheme="majorBidi"/>
          <w:sz w:val="24"/>
          <w:szCs w:val="24"/>
        </w:rPr>
        <w:t>effet ,</w:t>
      </w:r>
      <w:proofErr w:type="gramEnd"/>
      <w:r w:rsidRPr="00C1021B">
        <w:rPr>
          <w:rFonts w:asciiTheme="majorBidi" w:hAnsiTheme="majorBidi" w:cstheme="majorBidi"/>
          <w:sz w:val="24"/>
          <w:szCs w:val="24"/>
        </w:rPr>
        <w:t xml:space="preserve"> </w:t>
      </w:r>
      <w:proofErr w:type="spellStart"/>
      <w:r w:rsidRPr="00C1021B">
        <w:rPr>
          <w:rFonts w:asciiTheme="majorBidi" w:hAnsiTheme="majorBidi" w:cstheme="majorBidi"/>
          <w:sz w:val="24"/>
          <w:szCs w:val="24"/>
        </w:rPr>
        <w:t>Cryptosporidium</w:t>
      </w:r>
      <w:proofErr w:type="spellEnd"/>
      <w:r w:rsidRPr="00C1021B">
        <w:rPr>
          <w:rFonts w:asciiTheme="majorBidi" w:hAnsiTheme="majorBidi" w:cstheme="majorBidi"/>
          <w:sz w:val="24"/>
          <w:szCs w:val="24"/>
        </w:rPr>
        <w:t xml:space="preserve"> est fréquemment rencontré chez les veaux dont la tranche d’âge est comprise entre11 -16 jours , 17 - 21 jours et 22-26 jours ,soit respectivement,36/61(59,01%),40/65(61,53%) et 40/78(51,28%). La comparaison des résultats obtenus dans les élevages vaccinés ou non contre les agents responsables des diarrhées néonatales a montré une prévalence plus élevée dans les élevages non vaccinés. Ainsi sur 251 prélèvements issus d’élevages non vaccinés 55,28% et 203 prélèvements issus d’élevages vaccinés soit 44,71%,110 étaient positifs aux cryptosporidies soit 54,18% pour le premier type d’élevage et 107 étaient positifs aux parasites soit 42,62% pour le deuxième type d’</w:t>
      </w:r>
      <w:proofErr w:type="spellStart"/>
      <w:r w:rsidRPr="00C1021B">
        <w:rPr>
          <w:rFonts w:asciiTheme="majorBidi" w:hAnsiTheme="majorBidi" w:cstheme="majorBidi"/>
          <w:sz w:val="24"/>
          <w:szCs w:val="24"/>
        </w:rPr>
        <w:t>élevage.En</w:t>
      </w:r>
      <w:proofErr w:type="spellEnd"/>
      <w:r w:rsidRPr="00C1021B">
        <w:rPr>
          <w:rFonts w:asciiTheme="majorBidi" w:hAnsiTheme="majorBidi" w:cstheme="majorBidi"/>
          <w:sz w:val="24"/>
          <w:szCs w:val="24"/>
        </w:rPr>
        <w:t xml:space="preserve"> outre ,l’étude a démontré que les veaux issus de la saillie naturelle ont été plus touchés par rapport aux veaux issus de l’insémination artificielle ,avec un pourcentage respective de 62,83% sur148 prélèvements et 40,52%sur 306 prélèvements. D’autres parts, nous avons essayé d’évaluer l’impact de la saison, le sexe, le type d’élevage, la race et les conditions d’hygiènes. Des prélèvements ont aussi été analysés pour la recherche du parasite chez l’homme .Ainsi, sur 19 prélèvements effectués, 01 s’est révélé positif au protozoaire soit 5,55%.Quant aux échantillons d’eaux ,02 sur 18 étaient positifs et ce dans les eaux de surface soit 11,11%. Par ailleurs, l’examen direct sur le culot de centrifugation a permis d’observer Giardia </w:t>
      </w:r>
      <w:proofErr w:type="spellStart"/>
      <w:r w:rsidRPr="00C1021B">
        <w:rPr>
          <w:rFonts w:asciiTheme="majorBidi" w:hAnsiTheme="majorBidi" w:cstheme="majorBidi"/>
          <w:sz w:val="24"/>
          <w:szCs w:val="24"/>
        </w:rPr>
        <w:t>sp</w:t>
      </w:r>
      <w:proofErr w:type="spellEnd"/>
      <w:r w:rsidRPr="00C1021B">
        <w:rPr>
          <w:rFonts w:asciiTheme="majorBidi" w:hAnsiTheme="majorBidi" w:cstheme="majorBidi"/>
          <w:sz w:val="24"/>
          <w:szCs w:val="24"/>
        </w:rPr>
        <w:t xml:space="preserve"> pour la première fois chez le veau en Algérie, dans 107 analyses soit 23,56%, leur associations avec les cryptosporidies étaient dans 47 prélèvements soit 10,35% .D’autre part, les coccidies ont été identifiés dans 71 cas soit 15, 63% avec une association dans 26 cas soit 05,72% .L’association entre les 03 parasites est signalée dans 04 cas soit 0,88%.</w:t>
      </w:r>
      <w:r w:rsidRPr="00C1021B">
        <w:rPr>
          <w:rFonts w:asciiTheme="majorBidi" w:hAnsiTheme="majorBidi" w:cstheme="majorBidi"/>
          <w:sz w:val="24"/>
          <w:szCs w:val="24"/>
        </w:rPr>
        <w:br/>
      </w:r>
      <w:r w:rsidRPr="00C1021B">
        <w:rPr>
          <w:rFonts w:asciiTheme="majorBidi" w:hAnsiTheme="majorBidi" w:cstheme="majorBidi"/>
          <w:sz w:val="24"/>
          <w:szCs w:val="24"/>
        </w:rPr>
        <w:br/>
      </w:r>
      <w:r w:rsidRPr="00C1021B">
        <w:rPr>
          <w:rFonts w:asciiTheme="majorBidi" w:hAnsiTheme="majorBidi" w:cstheme="majorBidi"/>
          <w:sz w:val="24"/>
          <w:szCs w:val="24"/>
        </w:rPr>
        <w:br/>
      </w:r>
      <w:r w:rsidRPr="00C1021B">
        <w:rPr>
          <w:rFonts w:asciiTheme="majorBidi" w:hAnsiTheme="majorBidi" w:cstheme="majorBidi"/>
          <w:sz w:val="24"/>
          <w:szCs w:val="24"/>
        </w:rPr>
        <w:br/>
      </w:r>
      <w:r w:rsidRPr="00C1021B">
        <w:rPr>
          <w:rFonts w:asciiTheme="majorBidi" w:hAnsiTheme="majorBidi" w:cstheme="majorBidi"/>
          <w:sz w:val="24"/>
          <w:szCs w:val="24"/>
        </w:rPr>
        <w:br/>
      </w:r>
      <w:r w:rsidRPr="00C1021B">
        <w:rPr>
          <w:rFonts w:asciiTheme="majorBidi" w:hAnsiTheme="majorBidi" w:cstheme="majorBidi"/>
          <w:sz w:val="24"/>
          <w:szCs w:val="24"/>
        </w:rPr>
        <w:lastRenderedPageBreak/>
        <w:br/>
      </w:r>
      <w:r w:rsidRPr="00C1021B">
        <w:rPr>
          <w:rFonts w:asciiTheme="majorBidi" w:hAnsiTheme="majorBidi" w:cstheme="majorBidi"/>
          <w:b/>
          <w:bCs/>
          <w:sz w:val="24"/>
          <w:szCs w:val="24"/>
          <w:lang w:val="en-US"/>
        </w:rPr>
        <w:t>Abstract:</w:t>
      </w:r>
    </w:p>
    <w:p w:rsidR="00930E79" w:rsidRPr="00C1021B" w:rsidRDefault="00C1021B" w:rsidP="00C1021B">
      <w:pPr>
        <w:rPr>
          <w:rFonts w:asciiTheme="majorBidi" w:hAnsiTheme="majorBidi" w:cstheme="majorBidi"/>
          <w:sz w:val="24"/>
          <w:szCs w:val="24"/>
          <w:lang w:val="en-US"/>
        </w:rPr>
      </w:pPr>
      <w:r w:rsidRPr="00C1021B">
        <w:rPr>
          <w:rFonts w:asciiTheme="majorBidi" w:hAnsiTheme="majorBidi" w:cstheme="majorBidi"/>
          <w:sz w:val="24"/>
          <w:szCs w:val="24"/>
          <w:lang w:val="en-US"/>
        </w:rPr>
        <w:br/>
        <w:t xml:space="preserve">During the period of time going from January to October 2005, an epidemiologic survey on the research of the Cryptosporidium was carried out. 454 samples of calves’ </w:t>
      </w:r>
      <w:proofErr w:type="spellStart"/>
      <w:r w:rsidRPr="00C1021B">
        <w:rPr>
          <w:rFonts w:asciiTheme="majorBidi" w:hAnsiTheme="majorBidi" w:cstheme="majorBidi"/>
          <w:sz w:val="24"/>
          <w:szCs w:val="24"/>
          <w:lang w:val="en-US"/>
        </w:rPr>
        <w:t>faeces</w:t>
      </w:r>
      <w:proofErr w:type="spellEnd"/>
      <w:r w:rsidRPr="00C1021B">
        <w:rPr>
          <w:rFonts w:asciiTheme="majorBidi" w:hAnsiTheme="majorBidi" w:cstheme="majorBidi"/>
          <w:sz w:val="24"/>
          <w:szCs w:val="24"/>
          <w:lang w:val="en-US"/>
        </w:rPr>
        <w:t xml:space="preserve"> resulting from 33 farms situated in 03 areas, </w:t>
      </w:r>
      <w:proofErr w:type="spellStart"/>
      <w:r w:rsidRPr="00C1021B">
        <w:rPr>
          <w:rFonts w:asciiTheme="majorBidi" w:hAnsiTheme="majorBidi" w:cstheme="majorBidi"/>
          <w:sz w:val="24"/>
          <w:szCs w:val="24"/>
          <w:lang w:val="en-US"/>
        </w:rPr>
        <w:t>Tipaza</w:t>
      </w:r>
      <w:proofErr w:type="spellEnd"/>
      <w:r w:rsidRPr="00C1021B">
        <w:rPr>
          <w:rFonts w:asciiTheme="majorBidi" w:hAnsiTheme="majorBidi" w:cstheme="majorBidi"/>
          <w:sz w:val="24"/>
          <w:szCs w:val="24"/>
          <w:lang w:val="en-US"/>
        </w:rPr>
        <w:t xml:space="preserve">, Algiers and </w:t>
      </w:r>
      <w:proofErr w:type="spellStart"/>
      <w:r w:rsidRPr="00C1021B">
        <w:rPr>
          <w:rFonts w:asciiTheme="majorBidi" w:hAnsiTheme="majorBidi" w:cstheme="majorBidi"/>
          <w:sz w:val="24"/>
          <w:szCs w:val="24"/>
          <w:lang w:val="en-US"/>
        </w:rPr>
        <w:t>Boumerdes</w:t>
      </w:r>
      <w:proofErr w:type="spellEnd"/>
      <w:r w:rsidRPr="00C1021B">
        <w:rPr>
          <w:rFonts w:asciiTheme="majorBidi" w:hAnsiTheme="majorBidi" w:cstheme="majorBidi"/>
          <w:sz w:val="24"/>
          <w:szCs w:val="24"/>
          <w:lang w:val="en-US"/>
        </w:rPr>
        <w:t xml:space="preserve"> were taken. 19 samples of </w:t>
      </w:r>
      <w:proofErr w:type="spellStart"/>
      <w:r w:rsidRPr="00C1021B">
        <w:rPr>
          <w:rFonts w:asciiTheme="majorBidi" w:hAnsiTheme="majorBidi" w:cstheme="majorBidi"/>
          <w:sz w:val="24"/>
          <w:szCs w:val="24"/>
          <w:lang w:val="en-US"/>
        </w:rPr>
        <w:t>faeces</w:t>
      </w:r>
      <w:proofErr w:type="spellEnd"/>
      <w:r w:rsidRPr="00C1021B">
        <w:rPr>
          <w:rFonts w:asciiTheme="majorBidi" w:hAnsiTheme="majorBidi" w:cstheme="majorBidi"/>
          <w:sz w:val="24"/>
          <w:szCs w:val="24"/>
          <w:lang w:val="en-US"/>
        </w:rPr>
        <w:t xml:space="preserve"> human and 18 water samples were also carried out and analyzed, in order to show the </w:t>
      </w:r>
      <w:proofErr w:type="spellStart"/>
      <w:r w:rsidRPr="00C1021B">
        <w:rPr>
          <w:rFonts w:asciiTheme="majorBidi" w:hAnsiTheme="majorBidi" w:cstheme="majorBidi"/>
          <w:sz w:val="24"/>
          <w:szCs w:val="24"/>
          <w:lang w:val="en-US"/>
        </w:rPr>
        <w:t>zoonotic</w:t>
      </w:r>
      <w:proofErr w:type="spellEnd"/>
      <w:r w:rsidRPr="00C1021B">
        <w:rPr>
          <w:rFonts w:asciiTheme="majorBidi" w:hAnsiTheme="majorBidi" w:cstheme="majorBidi"/>
          <w:sz w:val="24"/>
          <w:szCs w:val="24"/>
          <w:lang w:val="en-US"/>
        </w:rPr>
        <w:t xml:space="preserve"> character of the cryptosporidiosis. At the end of this study, from the 454 samples, 193 were diarrheal that is to say 42,5 % and 261 </w:t>
      </w:r>
      <w:proofErr w:type="spellStart"/>
      <w:r w:rsidRPr="00C1021B">
        <w:rPr>
          <w:rFonts w:asciiTheme="majorBidi" w:hAnsiTheme="majorBidi" w:cstheme="majorBidi"/>
          <w:sz w:val="24"/>
          <w:szCs w:val="24"/>
          <w:lang w:val="en-US"/>
        </w:rPr>
        <w:t>nondiarrheal</w:t>
      </w:r>
      <w:proofErr w:type="spellEnd"/>
      <w:r w:rsidRPr="00C1021B">
        <w:rPr>
          <w:rFonts w:asciiTheme="majorBidi" w:hAnsiTheme="majorBidi" w:cstheme="majorBidi"/>
          <w:sz w:val="24"/>
          <w:szCs w:val="24"/>
          <w:lang w:val="en-US"/>
        </w:rPr>
        <w:t xml:space="preserve"> 57,48 %, among the diarrheal samples 123 was positive to the Cryptosporidium 63,73 % and 94 were positive for the </w:t>
      </w:r>
      <w:proofErr w:type="spellStart"/>
      <w:r w:rsidRPr="00C1021B">
        <w:rPr>
          <w:rFonts w:asciiTheme="majorBidi" w:hAnsiTheme="majorBidi" w:cstheme="majorBidi"/>
          <w:sz w:val="24"/>
          <w:szCs w:val="24"/>
          <w:lang w:val="en-US"/>
        </w:rPr>
        <w:t>nondiarrheal</w:t>
      </w:r>
      <w:proofErr w:type="spellEnd"/>
      <w:r w:rsidRPr="00C1021B">
        <w:rPr>
          <w:rFonts w:asciiTheme="majorBidi" w:hAnsiTheme="majorBidi" w:cstheme="majorBidi"/>
          <w:sz w:val="24"/>
          <w:szCs w:val="24"/>
          <w:lang w:val="en-US"/>
        </w:rPr>
        <w:t xml:space="preserve"> saddles so 36,01 %. The age of the animals seems to play an important role. Indeed, the Cryptosporidium is frequently met in the calves whose age bracket is included between 11 -16 days, 17 - 21 days and 22-26 days, respectively, 36/61(59, 01%), 40/65(61, 53%) and 40/78(51,28%). The comparison of the results obtained in the vaccinated </w:t>
      </w:r>
      <w:proofErr w:type="spellStart"/>
      <w:r w:rsidRPr="00C1021B">
        <w:rPr>
          <w:rFonts w:asciiTheme="majorBidi" w:hAnsiTheme="majorBidi" w:cstheme="majorBidi"/>
          <w:sz w:val="24"/>
          <w:szCs w:val="24"/>
          <w:lang w:val="en-US"/>
        </w:rPr>
        <w:t>breedings</w:t>
      </w:r>
      <w:proofErr w:type="spellEnd"/>
      <w:r w:rsidRPr="00C1021B">
        <w:rPr>
          <w:rFonts w:asciiTheme="majorBidi" w:hAnsiTheme="majorBidi" w:cstheme="majorBidi"/>
          <w:sz w:val="24"/>
          <w:szCs w:val="24"/>
          <w:lang w:val="en-US"/>
        </w:rPr>
        <w:t xml:space="preserve"> or non against the agents responsible for the new-</w:t>
      </w:r>
      <w:proofErr w:type="spellStart"/>
      <w:r w:rsidRPr="00C1021B">
        <w:rPr>
          <w:rFonts w:asciiTheme="majorBidi" w:hAnsiTheme="majorBidi" w:cstheme="majorBidi"/>
          <w:sz w:val="24"/>
          <w:szCs w:val="24"/>
          <w:lang w:val="en-US"/>
        </w:rPr>
        <w:t>borns</w:t>
      </w:r>
      <w:proofErr w:type="spellEnd"/>
      <w:r w:rsidRPr="00C1021B">
        <w:rPr>
          <w:rFonts w:asciiTheme="majorBidi" w:hAnsiTheme="majorBidi" w:cstheme="majorBidi"/>
          <w:sz w:val="24"/>
          <w:szCs w:val="24"/>
          <w:lang w:val="en-US"/>
        </w:rPr>
        <w:t xml:space="preserve"> </w:t>
      </w:r>
      <w:proofErr w:type="spellStart"/>
      <w:r w:rsidRPr="00C1021B">
        <w:rPr>
          <w:rFonts w:asciiTheme="majorBidi" w:hAnsiTheme="majorBidi" w:cstheme="majorBidi"/>
          <w:sz w:val="24"/>
          <w:szCs w:val="24"/>
          <w:lang w:val="en-US"/>
        </w:rPr>
        <w:t>diarrhoeas</w:t>
      </w:r>
      <w:proofErr w:type="spellEnd"/>
      <w:r w:rsidRPr="00C1021B">
        <w:rPr>
          <w:rFonts w:asciiTheme="majorBidi" w:hAnsiTheme="majorBidi" w:cstheme="majorBidi"/>
          <w:sz w:val="24"/>
          <w:szCs w:val="24"/>
          <w:lang w:val="en-US"/>
        </w:rPr>
        <w:t xml:space="preserve">, showed a highly </w:t>
      </w:r>
      <w:proofErr w:type="spellStart"/>
      <w:r w:rsidRPr="00C1021B">
        <w:rPr>
          <w:rFonts w:asciiTheme="majorBidi" w:hAnsiTheme="majorBidi" w:cstheme="majorBidi"/>
          <w:sz w:val="24"/>
          <w:szCs w:val="24"/>
          <w:lang w:val="en-US"/>
        </w:rPr>
        <w:t>prévalence</w:t>
      </w:r>
      <w:proofErr w:type="spellEnd"/>
      <w:r w:rsidRPr="00C1021B">
        <w:rPr>
          <w:rFonts w:asciiTheme="majorBidi" w:hAnsiTheme="majorBidi" w:cstheme="majorBidi"/>
          <w:sz w:val="24"/>
          <w:szCs w:val="24"/>
          <w:lang w:val="en-US"/>
        </w:rPr>
        <w:t xml:space="preserve"> in the non vaccinated </w:t>
      </w:r>
      <w:proofErr w:type="spellStart"/>
      <w:r w:rsidRPr="00C1021B">
        <w:rPr>
          <w:rFonts w:asciiTheme="majorBidi" w:hAnsiTheme="majorBidi" w:cstheme="majorBidi"/>
          <w:sz w:val="24"/>
          <w:szCs w:val="24"/>
          <w:lang w:val="en-US"/>
        </w:rPr>
        <w:t>breedings</w:t>
      </w:r>
      <w:proofErr w:type="spellEnd"/>
      <w:r w:rsidRPr="00C1021B">
        <w:rPr>
          <w:rFonts w:asciiTheme="majorBidi" w:hAnsiTheme="majorBidi" w:cstheme="majorBidi"/>
          <w:sz w:val="24"/>
          <w:szCs w:val="24"/>
          <w:lang w:val="en-US"/>
        </w:rPr>
        <w:t xml:space="preserve">. Thus from 251 samples resulting from non vaccinated </w:t>
      </w:r>
      <w:proofErr w:type="spellStart"/>
      <w:r w:rsidRPr="00C1021B">
        <w:rPr>
          <w:rFonts w:asciiTheme="majorBidi" w:hAnsiTheme="majorBidi" w:cstheme="majorBidi"/>
          <w:sz w:val="24"/>
          <w:szCs w:val="24"/>
          <w:lang w:val="en-US"/>
        </w:rPr>
        <w:t>breedings</w:t>
      </w:r>
      <w:proofErr w:type="spellEnd"/>
      <w:r w:rsidRPr="00C1021B">
        <w:rPr>
          <w:rFonts w:asciiTheme="majorBidi" w:hAnsiTheme="majorBidi" w:cstheme="majorBidi"/>
          <w:sz w:val="24"/>
          <w:szCs w:val="24"/>
          <w:lang w:val="en-US"/>
        </w:rPr>
        <w:t xml:space="preserve"> 55,28 % and 203 samples resulting from vaccinated </w:t>
      </w:r>
      <w:proofErr w:type="spellStart"/>
      <w:r w:rsidRPr="00C1021B">
        <w:rPr>
          <w:rFonts w:asciiTheme="majorBidi" w:hAnsiTheme="majorBidi" w:cstheme="majorBidi"/>
          <w:sz w:val="24"/>
          <w:szCs w:val="24"/>
          <w:lang w:val="en-US"/>
        </w:rPr>
        <w:t>breedings</w:t>
      </w:r>
      <w:proofErr w:type="spellEnd"/>
      <w:r w:rsidRPr="00C1021B">
        <w:rPr>
          <w:rFonts w:asciiTheme="majorBidi" w:hAnsiTheme="majorBidi" w:cstheme="majorBidi"/>
          <w:sz w:val="24"/>
          <w:szCs w:val="24"/>
          <w:lang w:val="en-US"/>
        </w:rPr>
        <w:t xml:space="preserve"> 44,71%,110 was positive to the Cryptosporidium 54,18% for the first type of breeding and 107 were positive to the parasite 42,62% for the second type of breeding. Moreover, the study showed that the calves resulting from the natural projection were the most infected compared to calves resulting from the artificial insemination, with a percentage respectively 62, 83% from148 samples and 40, 52% from 306 samples. Ad on the other hand, we tried to evaluate the impact of the season, the sex, the type of breeding, the race, the </w:t>
      </w:r>
      <w:proofErr w:type="spellStart"/>
      <w:r w:rsidRPr="00C1021B">
        <w:rPr>
          <w:rFonts w:asciiTheme="majorBidi" w:hAnsiTheme="majorBidi" w:cstheme="majorBidi"/>
          <w:sz w:val="24"/>
          <w:szCs w:val="24"/>
          <w:lang w:val="en-US"/>
        </w:rPr>
        <w:t>colostrum</w:t>
      </w:r>
      <w:proofErr w:type="spellEnd"/>
      <w:r w:rsidRPr="00C1021B">
        <w:rPr>
          <w:rFonts w:asciiTheme="majorBidi" w:hAnsiTheme="majorBidi" w:cstheme="majorBidi"/>
          <w:sz w:val="24"/>
          <w:szCs w:val="24"/>
          <w:lang w:val="en-US"/>
        </w:rPr>
        <w:t xml:space="preserve"> taken and the hygiene conditions. Samples were also analyzed for the research of the human parasite. Thus, from the 19 samples, 01 appeared positive to the protozoon 5, 55%.Whereas the water samples, 02 from the 18 were positive, this was in the water surface i.e. (11, 11%). In addition, the direct examination on the cheek of centrifugation made it possible to observe </w:t>
      </w:r>
      <w:proofErr w:type="spellStart"/>
      <w:r w:rsidRPr="00C1021B">
        <w:rPr>
          <w:rFonts w:asciiTheme="majorBidi" w:hAnsiTheme="majorBidi" w:cstheme="majorBidi"/>
          <w:sz w:val="24"/>
          <w:szCs w:val="24"/>
          <w:lang w:val="en-US"/>
        </w:rPr>
        <w:t>Giardia</w:t>
      </w:r>
      <w:proofErr w:type="spellEnd"/>
      <w:r w:rsidRPr="00C1021B">
        <w:rPr>
          <w:rFonts w:asciiTheme="majorBidi" w:hAnsiTheme="majorBidi" w:cstheme="majorBidi"/>
          <w:sz w:val="24"/>
          <w:szCs w:val="24"/>
          <w:lang w:val="en-US"/>
        </w:rPr>
        <w:t xml:space="preserve"> sp for the first time in the calf in Algeria, in 107 analyses 23</w:t>
      </w:r>
      <w:proofErr w:type="gramStart"/>
      <w:r w:rsidRPr="00C1021B">
        <w:rPr>
          <w:rFonts w:asciiTheme="majorBidi" w:hAnsiTheme="majorBidi" w:cstheme="majorBidi"/>
          <w:sz w:val="24"/>
          <w:szCs w:val="24"/>
          <w:lang w:val="en-US"/>
        </w:rPr>
        <w:t>,56</w:t>
      </w:r>
      <w:proofErr w:type="gramEnd"/>
      <w:r w:rsidRPr="00C1021B">
        <w:rPr>
          <w:rFonts w:asciiTheme="majorBidi" w:hAnsiTheme="majorBidi" w:cstheme="majorBidi"/>
          <w:sz w:val="24"/>
          <w:szCs w:val="24"/>
          <w:lang w:val="en-US"/>
        </w:rPr>
        <w:t xml:space="preserve">%, their association with the Cryptosporidium were in 47 samples 10, 35%. Also, </w:t>
      </w:r>
      <w:proofErr w:type="spellStart"/>
      <w:r w:rsidRPr="00C1021B">
        <w:rPr>
          <w:rFonts w:asciiTheme="majorBidi" w:hAnsiTheme="majorBidi" w:cstheme="majorBidi"/>
          <w:sz w:val="24"/>
          <w:szCs w:val="24"/>
          <w:lang w:val="en-US"/>
        </w:rPr>
        <w:t>Eimeria</w:t>
      </w:r>
      <w:proofErr w:type="spellEnd"/>
      <w:r w:rsidRPr="00C1021B">
        <w:rPr>
          <w:rFonts w:asciiTheme="majorBidi" w:hAnsiTheme="majorBidi" w:cstheme="majorBidi"/>
          <w:sz w:val="24"/>
          <w:szCs w:val="24"/>
          <w:lang w:val="en-US"/>
        </w:rPr>
        <w:t xml:space="preserve"> sp were identified in 71 cases 15, 63% with an association in 26 cases with Cryptosporidium 05, 72%, the association among the 03 parasites is signaled in 04 cases 0, 88%.</w:t>
      </w:r>
    </w:p>
    <w:sectPr w:rsidR="00930E79" w:rsidRPr="00C1021B"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021B"/>
    <w:rsid w:val="00930E79"/>
    <w:rsid w:val="00C102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4487</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2019-11-25T08:30:00Z</dcterms:created>
  <dcterms:modified xsi:type="dcterms:W3CDTF">2019-11-25T08:32:00Z</dcterms:modified>
</cp:coreProperties>
</file>