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A4" w:rsidRPr="008C5CA4" w:rsidRDefault="008C5CA4" w:rsidP="008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Évidences moléculaires de l’implication de </w:t>
      </w:r>
      <w:proofErr w:type="spellStart"/>
      <w:r w:rsidRPr="008C5C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dans la transmission des salmonelles entre les bâtiments de poules pondeuses</w:t>
      </w:r>
    </w:p>
    <w:p w:rsidR="008C5CA4" w:rsidRPr="008C5CA4" w:rsidRDefault="008C5CA4" w:rsidP="008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C5CA4" w:rsidRPr="008C5CA4" w:rsidRDefault="008C5CA4" w:rsidP="008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proofErr w:type="spellStart"/>
      <w:r w:rsidRPr="008C5CA4">
        <w:rPr>
          <w:rFonts w:ascii="Times New Roman" w:eastAsia="Times New Roman" w:hAnsi="Times New Roman" w:cs="Times New Roman"/>
          <w:b/>
          <w:bCs/>
          <w:u w:val="single"/>
          <w:lang w:val="en-US"/>
        </w:rPr>
        <w:t>Douifi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u w:val="single"/>
          <w:lang w:val="en-US"/>
        </w:rPr>
        <w:t xml:space="preserve"> Mohamed</w:t>
      </w:r>
      <w:r w:rsidRPr="008C5CA4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1</w:t>
      </w:r>
      <w:bookmarkEnd w:id="0"/>
      <w:proofErr w:type="gramStart"/>
      <w:r w:rsidRPr="008C5CA4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,2</w:t>
      </w:r>
      <w:proofErr w:type="gramEnd"/>
      <w:r w:rsidRPr="008C5CA4">
        <w:rPr>
          <w:rFonts w:ascii="Times New Roman" w:eastAsia="Times New Roman" w:hAnsi="Times New Roman" w:cs="Times New Roman"/>
          <w:b/>
          <w:bCs/>
          <w:lang w:val="en-US"/>
        </w:rPr>
        <w:t xml:space="preserve">, </w:t>
      </w:r>
      <w:proofErr w:type="spellStart"/>
      <w:r w:rsidRPr="008C5CA4">
        <w:rPr>
          <w:rFonts w:ascii="Times New Roman" w:eastAsia="Times New Roman" w:hAnsi="Times New Roman" w:cs="Times New Roman"/>
          <w:b/>
          <w:bCs/>
          <w:lang w:val="en-US"/>
        </w:rPr>
        <w:t>Boukhalfa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lang w:val="en-US"/>
        </w:rPr>
        <w:t xml:space="preserve"> Nabila</w:t>
      </w:r>
      <w:r w:rsidRPr="008C5CA4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3</w:t>
      </w:r>
      <w:r w:rsidRPr="008C5CA4">
        <w:rPr>
          <w:rFonts w:ascii="Times New Roman" w:eastAsia="Times New Roman" w:hAnsi="Times New Roman" w:cs="Times New Roman"/>
          <w:b/>
          <w:bCs/>
          <w:lang w:val="en-US"/>
        </w:rPr>
        <w:t>, HAKEM Ahcene</w:t>
      </w:r>
      <w:r w:rsidRPr="008C5CA4">
        <w:rPr>
          <w:rFonts w:ascii="Times New Roman" w:eastAsia="Times New Roman" w:hAnsi="Times New Roman" w:cs="Times New Roman"/>
          <w:b/>
          <w:bCs/>
          <w:vertAlign w:val="superscript"/>
          <w:lang w:val="en-US"/>
        </w:rPr>
        <w:t>2,4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</w:rPr>
        <w:t>1</w:t>
      </w: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Université de Blida 1, Institut des Sciences Vétérinaires, Rue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Soumaa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BP270, 09000, Blida, Algérie.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</w:rPr>
      </w:pP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</w:rPr>
        <w:t xml:space="preserve">2 </w:t>
      </w: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Laboratoire d'exploration et valorisation des écosystèmes steppiques, Université de Djelfa, Djelfa, Algérie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</w:rPr>
        <w:t>3</w:t>
      </w: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Département des sciences biologiques, faculté des sciences de la nature et de la vie, Université de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Khemis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Miliana, route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Theniet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El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Had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44225,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Khemis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Miliana, Algérie. </w:t>
      </w: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vertAlign w:val="superscript"/>
        </w:rPr>
        <w:t>4</w:t>
      </w:r>
      <w:r w:rsidRPr="008C5CA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Centre de recherche en agropastoralisme, Djelfa, Algérie.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proofErr w:type="spellStart"/>
      <w:r w:rsidRPr="008C5CA4">
        <w:rPr>
          <w:rFonts w:ascii="Times New Roman" w:eastAsia="Times New Roman" w:hAnsi="Times New Roman" w:cs="Times New Roman"/>
          <w:i/>
          <w:iCs/>
          <w:sz w:val="18"/>
          <w:szCs w:val="18"/>
        </w:rPr>
        <w:t>Corresponding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sz w:val="18"/>
          <w:szCs w:val="18"/>
        </w:rPr>
        <w:t>author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email:douifimohamed@gmail.com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L’acarien rouge des volailles,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est l’ectoparasite le plus nuisible et le plus répandu dans les élevages de poules pondeuses. Il est bien connu comme un vecteur de plusieurs agents pathogènes, y compris de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Salmonella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l’espèce la plus incriminée dans les toxi-infections alimentaires collectives à travers le monde. Dans le but d’étudier les infestations par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et son rôle dans la transmission des salmonelles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entre les bâtiments de poules pondeuses, une enquête a été réalisée durant la période septembre- octobre 2014 sur 386 bâtiments de poule pondeuse dans quatre wilayas de l’est du pays (</w:t>
      </w:r>
      <w:proofErr w:type="spellStart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Bouira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Bordj </w:t>
      </w:r>
      <w:proofErr w:type="spellStart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Bouarreridj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Setif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et Batna). Un total de 32 pools, chaque pool contient 100 acariens, ont été analysés par PCR pour la recherche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Salmonella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enterica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S.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typhimurium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S.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enteritidis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Les résultats ont montré que 54 parmi les 386 bâtiments (14%) sont infestés par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la wilaya de </w:t>
      </w:r>
      <w:proofErr w:type="spellStart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Bouira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montre la prévalence la plus élevée (18,18 %), la wilaya de Bordj </w:t>
      </w:r>
      <w:proofErr w:type="spellStart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Bouarreridj</w:t>
      </w:r>
      <w:proofErr w:type="spellEnd"/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plus faible. Les bandes âgées de plus 40 semaines sont les plus infestées (p ˂ 0.001). La mortalité et la baisse de production des œufs peuvent atteindre 2 % et 10% respectivement. L’ADN de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Salmonella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enterica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est détecté dans 8 pools (25%), avec deux pools pour </w:t>
      </w:r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Salmonella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enteritidis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(6.25%). Ces résultats indiquent que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8C5C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peut agir comme un réservoir de salmonella permettant sa persistance dans l’environnement des poules et sa transmission entre différents cycles de production et différents bâtiments. </w:t>
      </w:r>
    </w:p>
    <w:p w:rsidR="008C5CA4" w:rsidRPr="008C5CA4" w:rsidRDefault="008C5CA4" w:rsidP="008C5C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C5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Mots clés : </w:t>
      </w:r>
      <w:r w:rsidRPr="008C5CA4">
        <w:rPr>
          <w:rFonts w:ascii="Times New Roman" w:eastAsia="Times New Roman" w:hAnsi="Times New Roman" w:cs="Times New Roman"/>
          <w:sz w:val="24"/>
          <w:szCs w:val="24"/>
        </w:rPr>
        <w:t xml:space="preserve">poule pondeuse,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sz w:val="24"/>
          <w:szCs w:val="24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i/>
          <w:iCs/>
          <w:sz w:val="24"/>
          <w:szCs w:val="24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</w:rPr>
        <w:t xml:space="preserve">, prévalence, vecteur, </w:t>
      </w:r>
      <w:r w:rsidRPr="008C5CA4">
        <w:rPr>
          <w:rFonts w:ascii="Times New Roman" w:eastAsia="Times New Roman" w:hAnsi="Times New Roman" w:cs="Times New Roman"/>
          <w:i/>
          <w:iCs/>
          <w:sz w:val="24"/>
          <w:szCs w:val="24"/>
        </w:rPr>
        <w:t>Salmonella</w:t>
      </w:r>
      <w:r w:rsidRPr="008C5CA4">
        <w:rPr>
          <w:rFonts w:ascii="Times New Roman" w:eastAsia="Times New Roman" w:hAnsi="Times New Roman" w:cs="Times New Roman"/>
          <w:i/>
          <w:iCs/>
        </w:rPr>
        <w:t>.</w:t>
      </w:r>
    </w:p>
    <w:p w:rsidR="008C5CA4" w:rsidRPr="008C5CA4" w:rsidRDefault="008C5CA4" w:rsidP="008C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8C5CA4" w:rsidRPr="008C5CA4" w:rsidRDefault="008C5CA4" w:rsidP="008C5C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C5CA4" w:rsidRPr="008C5CA4" w:rsidRDefault="008C5CA4" w:rsidP="008C5C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8C5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Molecular evidence of the involvement of </w:t>
      </w:r>
      <w:proofErr w:type="spellStart"/>
      <w:r w:rsidRPr="008C5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the transmission of salmonella between laying hen houses</w:t>
      </w:r>
    </w:p>
    <w:p w:rsidR="008C5CA4" w:rsidRPr="008C5CA4" w:rsidRDefault="008C5CA4" w:rsidP="008C5C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</w:p>
    <w:p w:rsidR="008C5CA4" w:rsidRPr="008C5CA4" w:rsidRDefault="008C5CA4" w:rsidP="008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Douifi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Mohamed</w:t>
      </w:r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proofErr w:type="gramStart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>,2</w:t>
      </w:r>
      <w:proofErr w:type="gramEnd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Boukhalfa</w:t>
      </w:r>
      <w:proofErr w:type="spellEnd"/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Nabila</w:t>
      </w:r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>3</w:t>
      </w:r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, HAKEM Ahcene</w:t>
      </w:r>
      <w:r w:rsidRPr="008C5CA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US"/>
        </w:rPr>
        <w:t>2,4</w:t>
      </w:r>
    </w:p>
    <w:p w:rsidR="008C5CA4" w:rsidRPr="008C5CA4" w:rsidRDefault="008C5CA4" w:rsidP="008C5C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red poultry mite,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is the most damaging and widespread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ectoparasite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laying hen farms. It is well known as a vector of several pathogens, including Salmonella, the species most incriminated in mass food-borne diseases worldwide. In order to study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infestations and their role in Salmonella transmission between laying hen houses, a survey was carried out during September-October 2014 on 386 laying hen houses in four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wilayas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east of the country (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Bouira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Bordj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Bouarreridj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Setif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Batna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). A total of 32 pools, each pool containing 100 mites, were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analysed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PCR for Salmonella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enterica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typhimurium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and S.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enteritidis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results showed that 54 out of 386 buildings (14%) are infested with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wilaya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Bouira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shows the highest prevalence (18.18%), and the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wilaya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Bordj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Bouarreridj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lowest. Flocks older than 40 weeks were the most infested (p 0.001). Mortality and a decrease in egg production can reach 2% and 10%, respectively. Salmonella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enterica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DNA was detected in 8 pools (25%), with two pools for Salmonella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enteritidis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(6.25%). These results indicate that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may act as a reservoir of Salmonella, allowing its persistence in the hen environment and its transmission between different production cycles and different houses. </w:t>
      </w:r>
    </w:p>
    <w:p w:rsidR="008C5CA4" w:rsidRPr="008C5CA4" w:rsidRDefault="008C5CA4" w:rsidP="008C5CA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  <w:r w:rsidRPr="008C5CA4">
        <w:rPr>
          <w:rFonts w:ascii="Times New Roman" w:eastAsia="Times New Roman" w:hAnsi="Times New Roman" w:cs="Times New Roman"/>
          <w:b/>
          <w:bCs/>
          <w:lang w:val="en-US" w:eastAsia="fr-FR"/>
        </w:rPr>
        <w:lastRenderedPageBreak/>
        <w:t>Key words:</w:t>
      </w:r>
      <w:r w:rsidRPr="008C5CA4">
        <w:rPr>
          <w:rFonts w:ascii="Times New Roman" w:eastAsia="Times New Roman" w:hAnsi="Times New Roman" w:cs="Times New Roman"/>
          <w:lang w:val="en-US" w:eastAsia="fr-FR"/>
        </w:rPr>
        <w:t xml:space="preserve"> laying hen, </w:t>
      </w:r>
      <w:proofErr w:type="spellStart"/>
      <w:r w:rsidRPr="008C5CA4">
        <w:rPr>
          <w:rFonts w:ascii="Times New Roman" w:eastAsia="Times New Roman" w:hAnsi="Times New Roman" w:cs="Times New Roman"/>
          <w:lang w:val="en-US" w:eastAsia="fr-FR"/>
        </w:rPr>
        <w:t>Dermanyssus</w:t>
      </w:r>
      <w:proofErr w:type="spellEnd"/>
      <w:r w:rsidRPr="008C5CA4">
        <w:rPr>
          <w:rFonts w:ascii="Times New Roman" w:eastAsia="Times New Roman" w:hAnsi="Times New Roman" w:cs="Times New Roman"/>
          <w:lang w:val="en-US" w:eastAsia="fr-FR"/>
        </w:rPr>
        <w:t xml:space="preserve"> </w:t>
      </w:r>
      <w:proofErr w:type="spellStart"/>
      <w:r w:rsidRPr="008C5CA4">
        <w:rPr>
          <w:rFonts w:ascii="Times New Roman" w:eastAsia="Times New Roman" w:hAnsi="Times New Roman" w:cs="Times New Roman"/>
          <w:lang w:val="en-US" w:eastAsia="fr-FR"/>
        </w:rPr>
        <w:t>gallinae</w:t>
      </w:r>
      <w:proofErr w:type="spellEnd"/>
      <w:r w:rsidRPr="008C5CA4">
        <w:rPr>
          <w:rFonts w:ascii="Times New Roman" w:eastAsia="Times New Roman" w:hAnsi="Times New Roman" w:cs="Times New Roman"/>
          <w:lang w:val="en-US" w:eastAsia="fr-FR"/>
        </w:rPr>
        <w:t>, prevalence, vector, Salmonella.</w:t>
      </w:r>
    </w:p>
    <w:p w:rsidR="0048661B" w:rsidRPr="008C5CA4" w:rsidRDefault="0048661B">
      <w:pPr>
        <w:rPr>
          <w:lang w:val="en-US"/>
        </w:rPr>
      </w:pPr>
    </w:p>
    <w:sectPr w:rsidR="0048661B" w:rsidRPr="008C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A4"/>
    <w:rsid w:val="0048661B"/>
    <w:rsid w:val="008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2022-12-13T08:34:00Z</dcterms:created>
  <dcterms:modified xsi:type="dcterms:W3CDTF">2022-12-13T08:37:00Z</dcterms:modified>
</cp:coreProperties>
</file>