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DA65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3067B" w:rsidRPr="00F3067B">
        <w:rPr>
          <w:rFonts w:asciiTheme="majorBidi" w:hAnsiTheme="majorBidi" w:cstheme="majorBidi"/>
          <w:b/>
          <w:bCs/>
          <w:sz w:val="28"/>
          <w:szCs w:val="28"/>
        </w:rPr>
        <w:t xml:space="preserve">Physiologie rénale : </w:t>
      </w:r>
      <w:r w:rsidR="00DA6549" w:rsidRPr="00DA6549">
        <w:rPr>
          <w:rFonts w:asciiTheme="majorBidi" w:hAnsiTheme="majorBidi" w:cstheme="majorBidi"/>
          <w:b/>
          <w:bCs/>
          <w:sz w:val="28"/>
          <w:szCs w:val="28"/>
        </w:rPr>
        <w:t>Comprendre , définir et construire les termes scientifiques composés : support de cours actualisé en 2022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DA6549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575</cp:revision>
  <dcterms:created xsi:type="dcterms:W3CDTF">2019-12-10T12:38:00Z</dcterms:created>
  <dcterms:modified xsi:type="dcterms:W3CDTF">2023-06-12T08:58:00Z</dcterms:modified>
</cp:coreProperties>
</file>