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DC203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F3067B" w:rsidRPr="00F3067B">
        <w:rPr>
          <w:rFonts w:asciiTheme="majorBidi" w:hAnsiTheme="majorBidi" w:cstheme="majorBidi"/>
          <w:b/>
          <w:bCs/>
          <w:sz w:val="28"/>
          <w:szCs w:val="28"/>
        </w:rPr>
        <w:t xml:space="preserve">Physiologie rénale : </w:t>
      </w:r>
      <w:r w:rsidR="00DC2038" w:rsidRPr="00DC2038">
        <w:rPr>
          <w:rFonts w:asciiTheme="majorBidi" w:hAnsiTheme="majorBidi" w:cstheme="majorBidi"/>
          <w:b/>
          <w:bCs/>
          <w:sz w:val="28"/>
          <w:szCs w:val="28"/>
        </w:rPr>
        <w:t>Caractéristique morphologique, phaneroptiques et énergétique des ruminants : travaux destiné aux étudiants de 2 année</w:t>
      </w:r>
    </w:p>
    <w:p w:rsidR="00F3067B" w:rsidRDefault="00F3067B" w:rsidP="00F3067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DC2038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577</cp:revision>
  <dcterms:created xsi:type="dcterms:W3CDTF">2019-12-10T12:38:00Z</dcterms:created>
  <dcterms:modified xsi:type="dcterms:W3CDTF">2023-06-12T09:37:00Z</dcterms:modified>
</cp:coreProperties>
</file>