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523CB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23CBD" w:rsidRPr="00523CBD">
        <w:rPr>
          <w:rFonts w:asciiTheme="majorBidi" w:hAnsiTheme="majorBidi" w:cstheme="majorBidi"/>
          <w:b/>
          <w:bCs/>
          <w:sz w:val="28"/>
          <w:szCs w:val="28"/>
        </w:rPr>
        <w:t>Cours matrice extracellulaire animale (MEC) 1 er année médecine vétérinaire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523CBD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23CB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586</cp:revision>
  <dcterms:created xsi:type="dcterms:W3CDTF">2019-12-10T12:38:00Z</dcterms:created>
  <dcterms:modified xsi:type="dcterms:W3CDTF">2023-06-12T13:27:00Z</dcterms:modified>
</cp:coreProperties>
</file>