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0206F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206F5" w:rsidRPr="000206F5">
        <w:rPr>
          <w:rFonts w:asciiTheme="majorBidi" w:hAnsiTheme="majorBidi" w:cstheme="majorBidi"/>
          <w:b/>
          <w:bCs/>
          <w:sz w:val="28"/>
          <w:szCs w:val="28"/>
        </w:rPr>
        <w:t>Rappels anatomiques et physiologiques sur l'ovaire et pathologies ovariennes chez la vache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0206F5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06F5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2D3E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01F7"/>
    <w:rsid w:val="0052296D"/>
    <w:rsid w:val="00523CBD"/>
    <w:rsid w:val="005301F0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2A2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D7935"/>
    <w:rsid w:val="00BE19F7"/>
    <w:rsid w:val="00BE2FC4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596</cp:revision>
  <dcterms:created xsi:type="dcterms:W3CDTF">2019-12-10T12:38:00Z</dcterms:created>
  <dcterms:modified xsi:type="dcterms:W3CDTF">2023-06-19T08:55:00Z</dcterms:modified>
</cp:coreProperties>
</file>