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AC" w:rsidRDefault="006524AC" w:rsidP="006524A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6524AC">
        <w:rPr>
          <w:rFonts w:asciiTheme="majorBidi" w:hAnsiTheme="majorBidi" w:cstheme="majorBidi"/>
          <w:b/>
          <w:bCs/>
          <w:color w:val="000000"/>
          <w:sz w:val="28"/>
          <w:szCs w:val="28"/>
          <w:shd w:val="clear" w:color="auto" w:fill="FFFFFF"/>
        </w:rPr>
        <w:t>Idres</w:t>
      </w:r>
      <w:proofErr w:type="spellEnd"/>
      <w:r w:rsidRPr="006524AC">
        <w:rPr>
          <w:rFonts w:asciiTheme="majorBidi" w:hAnsiTheme="majorBidi" w:cstheme="majorBidi"/>
          <w:b/>
          <w:bCs/>
          <w:color w:val="000000"/>
          <w:sz w:val="28"/>
          <w:szCs w:val="28"/>
          <w:shd w:val="clear" w:color="auto" w:fill="FFFFFF"/>
        </w:rPr>
        <w:t xml:space="preserve"> </w:t>
      </w:r>
      <w:proofErr w:type="spellStart"/>
      <w:r w:rsidRPr="006524AC">
        <w:rPr>
          <w:rFonts w:asciiTheme="majorBidi" w:hAnsiTheme="majorBidi" w:cstheme="majorBidi"/>
          <w:b/>
          <w:bCs/>
          <w:color w:val="000000"/>
          <w:sz w:val="28"/>
          <w:szCs w:val="28"/>
          <w:shd w:val="clear" w:color="auto" w:fill="FFFFFF"/>
        </w:rPr>
        <w:t>Takfarinas</w:t>
      </w:r>
      <w:proofErr w:type="spellEnd"/>
    </w:p>
    <w:p w:rsidR="006524AC" w:rsidRDefault="006524AC" w:rsidP="006524AC">
      <w:pPr>
        <w:jc w:val="center"/>
        <w:rPr>
          <w:rFonts w:asciiTheme="majorBidi" w:hAnsiTheme="majorBidi" w:cstheme="majorBidi"/>
          <w:b/>
          <w:bCs/>
          <w:color w:val="000000"/>
          <w:sz w:val="28"/>
          <w:szCs w:val="28"/>
          <w:shd w:val="clear" w:color="auto" w:fill="FFFFFF"/>
        </w:rPr>
      </w:pPr>
      <w:proofErr w:type="spellStart"/>
      <w:r w:rsidRPr="006524AC">
        <w:rPr>
          <w:rFonts w:asciiTheme="majorBidi" w:hAnsiTheme="majorBidi" w:cstheme="majorBidi"/>
          <w:b/>
          <w:bCs/>
          <w:color w:val="000000"/>
          <w:sz w:val="28"/>
          <w:szCs w:val="28"/>
          <w:shd w:val="clear" w:color="auto" w:fill="FFFFFF"/>
        </w:rPr>
        <w:t>Superovulation</w:t>
      </w:r>
      <w:proofErr w:type="spellEnd"/>
      <w:r w:rsidRPr="006524AC">
        <w:rPr>
          <w:rFonts w:asciiTheme="majorBidi" w:hAnsiTheme="majorBidi" w:cstheme="majorBidi"/>
          <w:b/>
          <w:bCs/>
          <w:color w:val="000000"/>
          <w:sz w:val="28"/>
          <w:szCs w:val="28"/>
          <w:shd w:val="clear" w:color="auto" w:fill="FFFFFF"/>
        </w:rPr>
        <w:t xml:space="preserve"> en vue du transfert embryonnaire chez la race locale brune de l'Atlas : comparaison entre deux doses de FSH, 32mg et 40mg </w:t>
      </w:r>
    </w:p>
    <w:p w:rsidR="006524AC" w:rsidRDefault="006524AC" w:rsidP="006524A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6524AC" w:rsidRDefault="006524AC">
      <w:pPr>
        <w:rPr>
          <w:rFonts w:asciiTheme="majorBidi" w:hAnsiTheme="majorBidi" w:cstheme="majorBidi"/>
          <w:b/>
          <w:bCs/>
          <w:sz w:val="24"/>
          <w:szCs w:val="24"/>
        </w:rPr>
      </w:pPr>
    </w:p>
    <w:p w:rsidR="006524AC" w:rsidRDefault="006524AC">
      <w:pPr>
        <w:rPr>
          <w:rFonts w:asciiTheme="majorBidi" w:hAnsiTheme="majorBidi" w:cstheme="majorBidi"/>
          <w:sz w:val="24"/>
          <w:szCs w:val="24"/>
        </w:rPr>
      </w:pPr>
      <w:r w:rsidRPr="006524AC">
        <w:rPr>
          <w:rFonts w:asciiTheme="majorBidi" w:hAnsiTheme="majorBidi" w:cstheme="majorBidi"/>
          <w:b/>
          <w:bCs/>
          <w:sz w:val="24"/>
          <w:szCs w:val="24"/>
        </w:rPr>
        <w:t>Résumé</w:t>
      </w:r>
      <w:r w:rsidRPr="006524AC">
        <w:rPr>
          <w:rFonts w:asciiTheme="majorBidi" w:hAnsiTheme="majorBidi" w:cstheme="majorBidi"/>
          <w:sz w:val="24"/>
          <w:szCs w:val="24"/>
        </w:rPr>
        <w:t> :</w:t>
      </w:r>
    </w:p>
    <w:p w:rsidR="00A050F2" w:rsidRPr="006524AC" w:rsidRDefault="006524AC" w:rsidP="006524AC">
      <w:pPr>
        <w:rPr>
          <w:rFonts w:asciiTheme="majorBidi" w:hAnsiTheme="majorBidi" w:cstheme="majorBidi"/>
          <w:sz w:val="24"/>
          <w:szCs w:val="24"/>
          <w:lang w:val="en-US"/>
        </w:rPr>
      </w:pPr>
      <w:r w:rsidRPr="006524AC">
        <w:rPr>
          <w:rFonts w:asciiTheme="majorBidi" w:hAnsiTheme="majorBidi" w:cstheme="majorBidi"/>
          <w:sz w:val="24"/>
          <w:szCs w:val="24"/>
        </w:rPr>
        <w:t xml:space="preserve"> La </w:t>
      </w:r>
      <w:proofErr w:type="spellStart"/>
      <w:r w:rsidRPr="006524AC">
        <w:rPr>
          <w:rFonts w:asciiTheme="majorBidi" w:hAnsiTheme="majorBidi" w:cstheme="majorBidi"/>
          <w:sz w:val="24"/>
          <w:szCs w:val="24"/>
        </w:rPr>
        <w:t>superovulation</w:t>
      </w:r>
      <w:proofErr w:type="spellEnd"/>
      <w:r w:rsidRPr="006524AC">
        <w:rPr>
          <w:rFonts w:asciiTheme="majorBidi" w:hAnsiTheme="majorBidi" w:cstheme="majorBidi"/>
          <w:sz w:val="24"/>
          <w:szCs w:val="24"/>
        </w:rPr>
        <w:t xml:space="preserve"> est une étape importante dans le protocole de transfert embryonnaire. Nous avons essayé de l’optimiser en utilisant et en comparant 02 doses de </w:t>
      </w:r>
      <w:proofErr w:type="spellStart"/>
      <w:r w:rsidRPr="006524AC">
        <w:rPr>
          <w:rFonts w:asciiTheme="majorBidi" w:hAnsiTheme="majorBidi" w:cstheme="majorBidi"/>
          <w:sz w:val="24"/>
          <w:szCs w:val="24"/>
        </w:rPr>
        <w:t>FSHp</w:t>
      </w:r>
      <w:proofErr w:type="spellEnd"/>
      <w:r w:rsidRPr="006524AC">
        <w:rPr>
          <w:rFonts w:asciiTheme="majorBidi" w:hAnsiTheme="majorBidi" w:cstheme="majorBidi"/>
          <w:sz w:val="24"/>
          <w:szCs w:val="24"/>
        </w:rPr>
        <w:t xml:space="preserve"> (32 et 40 mg) chez des vaches de la race locale « Brune de l’Atlas ». Dans ce but, 13 vaches, donneuses d’embryons, ont été utilisées dont 06 avaient reçu la dose de 32mg (groupe FSH-32) et 07 vaches, la dose de 40 mg (groupe FSH-40) et ce, entre J10 et J13 Le taux de synchronisation des chaleurs était de 100%, la moyenne de l’intervalle PGF2α-Début de l’</w:t>
      </w:r>
      <w:proofErr w:type="spellStart"/>
      <w:r w:rsidRPr="006524AC">
        <w:rPr>
          <w:rFonts w:asciiTheme="majorBidi" w:hAnsiTheme="majorBidi" w:cstheme="majorBidi"/>
          <w:sz w:val="24"/>
          <w:szCs w:val="24"/>
        </w:rPr>
        <w:t>oestrus</w:t>
      </w:r>
      <w:proofErr w:type="spellEnd"/>
      <w:r w:rsidRPr="006524AC">
        <w:rPr>
          <w:rFonts w:asciiTheme="majorBidi" w:hAnsiTheme="majorBidi" w:cstheme="majorBidi"/>
          <w:sz w:val="24"/>
          <w:szCs w:val="24"/>
        </w:rPr>
        <w:t xml:space="preserve"> était de 37,27 h ± 2,39, la moyenne des scores d’intensité des manifestations </w:t>
      </w:r>
      <w:proofErr w:type="spellStart"/>
      <w:r w:rsidRPr="006524AC">
        <w:rPr>
          <w:rFonts w:asciiTheme="majorBidi" w:hAnsiTheme="majorBidi" w:cstheme="majorBidi"/>
          <w:sz w:val="24"/>
          <w:szCs w:val="24"/>
        </w:rPr>
        <w:t>oestrales</w:t>
      </w:r>
      <w:proofErr w:type="spellEnd"/>
      <w:r w:rsidRPr="006524AC">
        <w:rPr>
          <w:rFonts w:asciiTheme="majorBidi" w:hAnsiTheme="majorBidi" w:cstheme="majorBidi"/>
          <w:sz w:val="24"/>
          <w:szCs w:val="24"/>
        </w:rPr>
        <w:t xml:space="preserve"> avoisinait les 173,58 et les moyennes des corps jaunes palpés étaient de 21,33 ± 2,50 pour le groupe FSH-32 et de 18,86 ± 3,44 pour le groupe FSH-40. </w:t>
      </w:r>
      <w:proofErr w:type="gramStart"/>
      <w:r w:rsidRPr="006524AC">
        <w:rPr>
          <w:rFonts w:asciiTheme="majorBidi" w:hAnsiTheme="majorBidi" w:cstheme="majorBidi"/>
          <w:sz w:val="24"/>
          <w:szCs w:val="24"/>
        </w:rPr>
        <w:t>d’un</w:t>
      </w:r>
      <w:proofErr w:type="gramEnd"/>
      <w:r w:rsidRPr="006524AC">
        <w:rPr>
          <w:rFonts w:asciiTheme="majorBidi" w:hAnsiTheme="majorBidi" w:cstheme="majorBidi"/>
          <w:sz w:val="24"/>
          <w:szCs w:val="24"/>
        </w:rPr>
        <w:t xml:space="preserve"> cycle </w:t>
      </w:r>
      <w:proofErr w:type="spellStart"/>
      <w:r w:rsidRPr="006524AC">
        <w:rPr>
          <w:rFonts w:asciiTheme="majorBidi" w:hAnsiTheme="majorBidi" w:cstheme="majorBidi"/>
          <w:sz w:val="24"/>
          <w:szCs w:val="24"/>
        </w:rPr>
        <w:t>oestral</w:t>
      </w:r>
      <w:proofErr w:type="spellEnd"/>
      <w:r w:rsidRPr="006524AC">
        <w:rPr>
          <w:rFonts w:asciiTheme="majorBidi" w:hAnsiTheme="majorBidi" w:cstheme="majorBidi"/>
          <w:sz w:val="24"/>
          <w:szCs w:val="24"/>
        </w:rPr>
        <w:t xml:space="preserve"> maîtrisé au moyen d’un implant sous cutané (</w:t>
      </w:r>
      <w:proofErr w:type="spellStart"/>
      <w:r w:rsidRPr="006524AC">
        <w:rPr>
          <w:rFonts w:asciiTheme="majorBidi" w:hAnsiTheme="majorBidi" w:cstheme="majorBidi"/>
          <w:sz w:val="24"/>
          <w:szCs w:val="24"/>
        </w:rPr>
        <w:t>Crestar</w:t>
      </w:r>
      <w:proofErr w:type="spellEnd"/>
      <w:r w:rsidRPr="006524AC">
        <w:rPr>
          <w:rFonts w:asciiTheme="majorBidi" w:hAnsiTheme="majorBidi" w:cstheme="majorBidi"/>
          <w:sz w:val="24"/>
          <w:szCs w:val="24"/>
        </w:rPr>
        <w:t>®). Suite à 02 injections de PGF2α (</w:t>
      </w:r>
      <w:proofErr w:type="spellStart"/>
      <w:r w:rsidRPr="006524AC">
        <w:rPr>
          <w:rFonts w:asciiTheme="majorBidi" w:hAnsiTheme="majorBidi" w:cstheme="majorBidi"/>
          <w:sz w:val="24"/>
          <w:szCs w:val="24"/>
        </w:rPr>
        <w:t>Estrumate</w:t>
      </w:r>
      <w:proofErr w:type="spellEnd"/>
      <w:r w:rsidRPr="006524AC">
        <w:rPr>
          <w:rFonts w:asciiTheme="majorBidi" w:hAnsiTheme="majorBidi" w:cstheme="majorBidi"/>
          <w:sz w:val="24"/>
          <w:szCs w:val="24"/>
        </w:rPr>
        <w:t>®), l’observation des chaleurs et l’insémination des donneuses, la récolte d’embryons a été réalisée 07 jours plus tard. Les réponses aux différents traitements ont été appréciées sur la base des critères suivants: le taux de venue en chaleurs, l’intervalle PGF2α-Début de l’</w:t>
      </w:r>
      <w:proofErr w:type="spellStart"/>
      <w:r w:rsidRPr="006524AC">
        <w:rPr>
          <w:rFonts w:asciiTheme="majorBidi" w:hAnsiTheme="majorBidi" w:cstheme="majorBidi"/>
          <w:sz w:val="24"/>
          <w:szCs w:val="24"/>
        </w:rPr>
        <w:t>oestrus</w:t>
      </w:r>
      <w:proofErr w:type="spellEnd"/>
      <w:r w:rsidRPr="006524AC">
        <w:rPr>
          <w:rFonts w:asciiTheme="majorBidi" w:hAnsiTheme="majorBidi" w:cstheme="majorBidi"/>
          <w:sz w:val="24"/>
          <w:szCs w:val="24"/>
        </w:rPr>
        <w:t xml:space="preserve">, l’intensité des manifestations </w:t>
      </w:r>
      <w:proofErr w:type="spellStart"/>
      <w:r w:rsidRPr="006524AC">
        <w:rPr>
          <w:rFonts w:asciiTheme="majorBidi" w:hAnsiTheme="majorBidi" w:cstheme="majorBidi"/>
          <w:sz w:val="24"/>
          <w:szCs w:val="24"/>
        </w:rPr>
        <w:t>oestrales</w:t>
      </w:r>
      <w:proofErr w:type="spellEnd"/>
      <w:r w:rsidRPr="006524AC">
        <w:rPr>
          <w:rFonts w:asciiTheme="majorBidi" w:hAnsiTheme="majorBidi" w:cstheme="majorBidi"/>
          <w:sz w:val="24"/>
          <w:szCs w:val="24"/>
        </w:rPr>
        <w:t xml:space="preserve"> et le nombre de corps jaunes palpés sur les ovaires. L’analyse statistique n’a révélé aucune différence significative majeure entre les doses utilisées. Cependant, une tendance semble être en faveur de l’utilisation d’une dose de 32 mg.</w:t>
      </w:r>
      <w:r w:rsidRPr="006524AC">
        <w:rPr>
          <w:rFonts w:asciiTheme="majorBidi" w:hAnsiTheme="majorBidi" w:cstheme="majorBidi"/>
          <w:sz w:val="24"/>
          <w:szCs w:val="24"/>
        </w:rPr>
        <w:br/>
      </w:r>
      <w:r w:rsidRPr="006524AC">
        <w:rPr>
          <w:rFonts w:asciiTheme="majorBidi" w:hAnsiTheme="majorBidi" w:cstheme="majorBidi"/>
          <w:sz w:val="24"/>
          <w:szCs w:val="24"/>
        </w:rPr>
        <w:br/>
      </w:r>
      <w:r w:rsidRPr="006524AC">
        <w:rPr>
          <w:rFonts w:asciiTheme="majorBidi" w:hAnsiTheme="majorBidi" w:cstheme="majorBidi"/>
          <w:sz w:val="24"/>
          <w:szCs w:val="24"/>
        </w:rPr>
        <w:br/>
      </w:r>
      <w:r w:rsidRPr="006524AC">
        <w:rPr>
          <w:rFonts w:asciiTheme="majorBidi" w:hAnsiTheme="majorBidi" w:cstheme="majorBidi"/>
          <w:b/>
          <w:bCs/>
          <w:sz w:val="24"/>
          <w:szCs w:val="24"/>
          <w:lang w:val="en-US"/>
        </w:rPr>
        <w:t>Abstract</w:t>
      </w:r>
      <w:proofErr w:type="gramStart"/>
      <w:r w:rsidRPr="006524AC">
        <w:rPr>
          <w:rFonts w:asciiTheme="majorBidi" w:hAnsiTheme="majorBidi" w:cstheme="majorBidi"/>
          <w:b/>
          <w:bCs/>
          <w:sz w:val="24"/>
          <w:szCs w:val="24"/>
          <w:lang w:val="en-US"/>
        </w:rPr>
        <w:t>:</w:t>
      </w:r>
      <w:proofErr w:type="gramEnd"/>
      <w:r w:rsidRPr="006524AC">
        <w:rPr>
          <w:rFonts w:asciiTheme="majorBidi" w:hAnsiTheme="majorBidi" w:cstheme="majorBidi"/>
          <w:b/>
          <w:bCs/>
          <w:sz w:val="24"/>
          <w:szCs w:val="24"/>
          <w:lang w:val="en-US"/>
        </w:rPr>
        <w:br/>
      </w:r>
      <w:r w:rsidRPr="006524AC">
        <w:rPr>
          <w:rFonts w:asciiTheme="majorBidi" w:hAnsiTheme="majorBidi" w:cstheme="majorBidi"/>
          <w:sz w:val="24"/>
          <w:szCs w:val="24"/>
          <w:lang w:val="en-US"/>
        </w:rPr>
        <w:t xml:space="preserve">Super ovulation is an important step in the protocol of embryo transfer. We tried to optimize it by using and comparing 02 doses of </w:t>
      </w:r>
      <w:proofErr w:type="spellStart"/>
      <w:r w:rsidRPr="006524AC">
        <w:rPr>
          <w:rFonts w:asciiTheme="majorBidi" w:hAnsiTheme="majorBidi" w:cstheme="majorBidi"/>
          <w:sz w:val="24"/>
          <w:szCs w:val="24"/>
          <w:lang w:val="en-US"/>
        </w:rPr>
        <w:t>FSHp</w:t>
      </w:r>
      <w:proofErr w:type="spellEnd"/>
      <w:r w:rsidRPr="006524AC">
        <w:rPr>
          <w:rFonts w:asciiTheme="majorBidi" w:hAnsiTheme="majorBidi" w:cstheme="majorBidi"/>
          <w:sz w:val="24"/>
          <w:szCs w:val="24"/>
          <w:lang w:val="en-US"/>
        </w:rPr>
        <w:t xml:space="preserve"> (32 and 40 mg) in cows of local breed "Brown of Atlas." For this aim, 13 cows had been used, 06 of them received 32mg of </w:t>
      </w:r>
      <w:proofErr w:type="spellStart"/>
      <w:r w:rsidRPr="006524AC">
        <w:rPr>
          <w:rFonts w:asciiTheme="majorBidi" w:hAnsiTheme="majorBidi" w:cstheme="majorBidi"/>
          <w:sz w:val="24"/>
          <w:szCs w:val="24"/>
          <w:lang w:val="en-US"/>
        </w:rPr>
        <w:t>FSHp</w:t>
      </w:r>
      <w:proofErr w:type="spellEnd"/>
      <w:r w:rsidRPr="006524AC">
        <w:rPr>
          <w:rFonts w:asciiTheme="majorBidi" w:hAnsiTheme="majorBidi" w:cstheme="majorBidi"/>
          <w:sz w:val="24"/>
          <w:szCs w:val="24"/>
          <w:lang w:val="en-US"/>
        </w:rPr>
        <w:t xml:space="preserve"> (group FSH-32) and 07 others a dose of 40 mg (group FSH-40) from the 10th to the 13th The rate of estrus synchronization was 100%, the average interval PG-onset of estrus was 37.27 ± 2.39 h, the average intensity scores of events estrous was around 173.58 and the averages of palpated corpora </w:t>
      </w:r>
      <w:proofErr w:type="spellStart"/>
      <w:r w:rsidRPr="006524AC">
        <w:rPr>
          <w:rFonts w:asciiTheme="majorBidi" w:hAnsiTheme="majorBidi" w:cstheme="majorBidi"/>
          <w:sz w:val="24"/>
          <w:szCs w:val="24"/>
          <w:lang w:val="en-US"/>
        </w:rPr>
        <w:t>lutea</w:t>
      </w:r>
      <w:proofErr w:type="spellEnd"/>
      <w:r w:rsidRPr="006524AC">
        <w:rPr>
          <w:rFonts w:asciiTheme="majorBidi" w:hAnsiTheme="majorBidi" w:cstheme="majorBidi"/>
          <w:sz w:val="24"/>
          <w:szCs w:val="24"/>
          <w:lang w:val="en-US"/>
        </w:rPr>
        <w:t xml:space="preserve"> were 21.33 ± 2.50 for FSH-32 group and 18.86 ± 3.44 for FSH-40group. Statistical analysis revealed no significant difference between the major doses used. However, seems to favor the use of a dose of 32 mg. day of a controlled estrous cycle through a subcutaneous implant (Crestar ®). After 02 injections of PGF2</w:t>
      </w:r>
      <w:r w:rsidRPr="006524AC">
        <w:rPr>
          <w:rFonts w:asciiTheme="majorBidi" w:hAnsiTheme="majorBidi" w:cstheme="majorBidi"/>
          <w:sz w:val="24"/>
          <w:szCs w:val="24"/>
        </w:rPr>
        <w:t>α</w:t>
      </w:r>
      <w:r w:rsidRPr="006524AC">
        <w:rPr>
          <w:rFonts w:asciiTheme="majorBidi" w:hAnsiTheme="majorBidi" w:cstheme="majorBidi"/>
          <w:sz w:val="24"/>
          <w:szCs w:val="24"/>
          <w:lang w:val="en-US"/>
        </w:rPr>
        <w:t xml:space="preserve"> (</w:t>
      </w:r>
      <w:proofErr w:type="spellStart"/>
      <w:r w:rsidRPr="006524AC">
        <w:rPr>
          <w:rFonts w:asciiTheme="majorBidi" w:hAnsiTheme="majorBidi" w:cstheme="majorBidi"/>
          <w:sz w:val="24"/>
          <w:szCs w:val="24"/>
          <w:lang w:val="en-US"/>
        </w:rPr>
        <w:t>Estrumate</w:t>
      </w:r>
      <w:proofErr w:type="spellEnd"/>
      <w:r w:rsidRPr="006524AC">
        <w:rPr>
          <w:rFonts w:asciiTheme="majorBidi" w:hAnsiTheme="majorBidi" w:cstheme="majorBidi"/>
          <w:sz w:val="24"/>
          <w:szCs w:val="24"/>
          <w:lang w:val="en-US"/>
        </w:rPr>
        <w:t xml:space="preserve">®), harvesting of embryos was performed on day 7 after inseminations. Responses to different treatments were evaluated by the following criteria: the rate of heat coming into the interval PG-onset of estrus, heat’s intensity of estrous and the number of palpated corpora </w:t>
      </w:r>
      <w:proofErr w:type="spellStart"/>
      <w:r w:rsidRPr="006524AC">
        <w:rPr>
          <w:rFonts w:asciiTheme="majorBidi" w:hAnsiTheme="majorBidi" w:cstheme="majorBidi"/>
          <w:sz w:val="24"/>
          <w:szCs w:val="24"/>
          <w:lang w:val="en-US"/>
        </w:rPr>
        <w:t>lutea</w:t>
      </w:r>
      <w:proofErr w:type="spellEnd"/>
      <w:r w:rsidRPr="006524AC">
        <w:rPr>
          <w:rFonts w:asciiTheme="majorBidi" w:hAnsiTheme="majorBidi" w:cstheme="majorBidi"/>
          <w:sz w:val="24"/>
          <w:szCs w:val="24"/>
          <w:lang w:val="en-US"/>
        </w:rPr>
        <w:t xml:space="preserve"> on the ovaries.</w:t>
      </w:r>
    </w:p>
    <w:sectPr w:rsidR="00A050F2" w:rsidRPr="006524AC"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524AC"/>
    <w:rsid w:val="006524AC"/>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2441</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2019-10-17T08:05:00Z</dcterms:created>
  <dcterms:modified xsi:type="dcterms:W3CDTF">2019-10-17T08:06:00Z</dcterms:modified>
</cp:coreProperties>
</file>