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A2" w:rsidRDefault="00A370A2" w:rsidP="00A370A2">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A370A2">
        <w:rPr>
          <w:rFonts w:asciiTheme="majorBidi" w:hAnsiTheme="majorBidi" w:cstheme="majorBidi"/>
          <w:b/>
          <w:bCs/>
          <w:color w:val="000000"/>
          <w:sz w:val="28"/>
          <w:szCs w:val="28"/>
          <w:shd w:val="clear" w:color="auto" w:fill="FFFFFF"/>
        </w:rPr>
        <w:t>Bouhroum</w:t>
      </w:r>
      <w:proofErr w:type="spellEnd"/>
      <w:r>
        <w:rPr>
          <w:rFonts w:asciiTheme="majorBidi" w:hAnsiTheme="majorBidi" w:cstheme="majorBidi"/>
          <w:b/>
          <w:bCs/>
          <w:color w:val="000000"/>
          <w:sz w:val="28"/>
          <w:szCs w:val="28"/>
          <w:shd w:val="clear" w:color="auto" w:fill="FFFFFF"/>
        </w:rPr>
        <w:t xml:space="preserve"> </w:t>
      </w:r>
      <w:proofErr w:type="spellStart"/>
      <w:r w:rsidRPr="00A370A2">
        <w:rPr>
          <w:rFonts w:asciiTheme="majorBidi" w:hAnsiTheme="majorBidi" w:cstheme="majorBidi"/>
          <w:b/>
          <w:bCs/>
          <w:color w:val="000000"/>
          <w:sz w:val="28"/>
          <w:szCs w:val="28"/>
          <w:shd w:val="clear" w:color="auto" w:fill="FFFFFF"/>
        </w:rPr>
        <w:t>Nassima</w:t>
      </w:r>
      <w:proofErr w:type="spellEnd"/>
    </w:p>
    <w:p w:rsidR="00A370A2" w:rsidRDefault="00A370A2" w:rsidP="00A370A2">
      <w:pPr>
        <w:jc w:val="center"/>
        <w:rPr>
          <w:rFonts w:asciiTheme="majorBidi" w:hAnsiTheme="majorBidi" w:cstheme="majorBidi"/>
          <w:b/>
          <w:bCs/>
          <w:color w:val="000000"/>
          <w:sz w:val="28"/>
          <w:szCs w:val="28"/>
          <w:shd w:val="clear" w:color="auto" w:fill="FFFFFF"/>
        </w:rPr>
      </w:pPr>
      <w:r w:rsidRPr="00A370A2">
        <w:rPr>
          <w:rFonts w:asciiTheme="majorBidi" w:hAnsiTheme="majorBidi" w:cstheme="majorBidi"/>
          <w:b/>
          <w:bCs/>
          <w:color w:val="000000"/>
          <w:sz w:val="28"/>
          <w:szCs w:val="28"/>
          <w:shd w:val="clear" w:color="auto" w:fill="FFFFFF"/>
        </w:rPr>
        <w:t xml:space="preserve">Impact de l'alimentation et du stress thermique sur les résultats de l’insémination artificielle bovine, dans certains élevages de la wilaya de </w:t>
      </w:r>
      <w:proofErr w:type="spellStart"/>
      <w:r w:rsidRPr="00A370A2">
        <w:rPr>
          <w:rFonts w:asciiTheme="majorBidi" w:hAnsiTheme="majorBidi" w:cstheme="majorBidi"/>
          <w:b/>
          <w:bCs/>
          <w:color w:val="000000"/>
          <w:sz w:val="28"/>
          <w:szCs w:val="28"/>
          <w:shd w:val="clear" w:color="auto" w:fill="FFFFFF"/>
        </w:rPr>
        <w:t>Relizane</w:t>
      </w:r>
      <w:proofErr w:type="spellEnd"/>
      <w:r w:rsidRPr="00A370A2">
        <w:rPr>
          <w:rFonts w:asciiTheme="majorBidi" w:hAnsiTheme="majorBidi" w:cstheme="majorBidi"/>
          <w:b/>
          <w:bCs/>
          <w:color w:val="000000"/>
          <w:sz w:val="28"/>
          <w:szCs w:val="28"/>
          <w:shd w:val="clear" w:color="auto" w:fill="FFFFFF"/>
        </w:rPr>
        <w:t xml:space="preserve"> </w:t>
      </w:r>
    </w:p>
    <w:p w:rsidR="00A370A2" w:rsidRDefault="00A370A2" w:rsidP="00A370A2">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03</w:t>
      </w:r>
    </w:p>
    <w:p w:rsidR="00A370A2" w:rsidRDefault="00A370A2" w:rsidP="00A370A2">
      <w:pPr>
        <w:rPr>
          <w:rFonts w:asciiTheme="majorBidi" w:hAnsiTheme="majorBidi" w:cstheme="majorBidi"/>
          <w:b/>
          <w:bCs/>
          <w:sz w:val="24"/>
          <w:szCs w:val="24"/>
        </w:rPr>
      </w:pPr>
    </w:p>
    <w:p w:rsidR="00A370A2" w:rsidRDefault="00A370A2">
      <w:pPr>
        <w:rPr>
          <w:rFonts w:asciiTheme="majorBidi" w:hAnsiTheme="majorBidi" w:cstheme="majorBidi"/>
          <w:b/>
          <w:bCs/>
          <w:sz w:val="24"/>
          <w:szCs w:val="24"/>
        </w:rPr>
      </w:pPr>
    </w:p>
    <w:p w:rsidR="00A370A2" w:rsidRDefault="00A370A2">
      <w:pPr>
        <w:rPr>
          <w:rFonts w:asciiTheme="majorBidi" w:hAnsiTheme="majorBidi" w:cstheme="majorBidi"/>
          <w:sz w:val="24"/>
          <w:szCs w:val="24"/>
        </w:rPr>
      </w:pPr>
      <w:r w:rsidRPr="00A370A2">
        <w:rPr>
          <w:rFonts w:asciiTheme="majorBidi" w:hAnsiTheme="majorBidi" w:cstheme="majorBidi"/>
          <w:b/>
          <w:bCs/>
          <w:sz w:val="24"/>
          <w:szCs w:val="24"/>
        </w:rPr>
        <w:t>Résumé</w:t>
      </w:r>
      <w:r w:rsidRPr="00A370A2">
        <w:rPr>
          <w:rFonts w:asciiTheme="majorBidi" w:hAnsiTheme="majorBidi" w:cstheme="majorBidi"/>
          <w:sz w:val="24"/>
          <w:szCs w:val="24"/>
        </w:rPr>
        <w:t xml:space="preserve"> : </w:t>
      </w:r>
    </w:p>
    <w:p w:rsidR="00AA7F0A" w:rsidRPr="00A370A2" w:rsidRDefault="00A370A2">
      <w:pPr>
        <w:rPr>
          <w:rFonts w:asciiTheme="majorBidi" w:hAnsiTheme="majorBidi" w:cstheme="majorBidi"/>
          <w:sz w:val="24"/>
          <w:szCs w:val="24"/>
        </w:rPr>
      </w:pPr>
      <w:r w:rsidRPr="00A370A2">
        <w:rPr>
          <w:rFonts w:asciiTheme="majorBidi" w:hAnsiTheme="majorBidi" w:cstheme="majorBidi"/>
          <w:sz w:val="24"/>
          <w:szCs w:val="24"/>
        </w:rPr>
        <w:t xml:space="preserve">La croissance démographique dans le monde reste un phénomène important qui incite les politiques à encourager tous les procédés scientifiques à même d’améliorer l’alimentation en général. L’insémination artificielle est parmi l’un des procédés utilisés dans ce sens. En Algérie, peu d’étude ont accès leur travail sur l’impact de l’alimentation et du stress thermique sur la réussite de l’insémination artificielle. Ce travail est une modeste participation à l’explication des facteurs qui peuvent influer sur l’insémination artificielle. Il a été mené sur un effectif de 59 vaches, vivant sur le périmètre de la wilaya de </w:t>
      </w:r>
      <w:proofErr w:type="spellStart"/>
      <w:r w:rsidRPr="00A370A2">
        <w:rPr>
          <w:rFonts w:asciiTheme="majorBidi" w:hAnsiTheme="majorBidi" w:cstheme="majorBidi"/>
          <w:sz w:val="24"/>
          <w:szCs w:val="24"/>
        </w:rPr>
        <w:t>Relizane</w:t>
      </w:r>
      <w:proofErr w:type="spellEnd"/>
      <w:r w:rsidRPr="00A370A2">
        <w:rPr>
          <w:rFonts w:asciiTheme="majorBidi" w:hAnsiTheme="majorBidi" w:cstheme="majorBidi"/>
          <w:sz w:val="24"/>
          <w:szCs w:val="24"/>
        </w:rPr>
        <w:t xml:space="preserve">. L’état corporel de ces animaux a été noté à chaque insémination par inspection visuelle et palpation des régions lombaires et caudales ; chaque vache est notée de 1 à 5 {état émacié (1) et jusqu’à l’état gras (5)}. Un prélèvement sanguin s’effectue </w:t>
      </w:r>
      <w:proofErr w:type="gramStart"/>
      <w:r w:rsidRPr="00A370A2">
        <w:rPr>
          <w:rFonts w:asciiTheme="majorBidi" w:hAnsiTheme="majorBidi" w:cstheme="majorBidi"/>
          <w:sz w:val="24"/>
          <w:szCs w:val="24"/>
        </w:rPr>
        <w:t>a</w:t>
      </w:r>
      <w:proofErr w:type="gramEnd"/>
      <w:r w:rsidRPr="00A370A2">
        <w:rPr>
          <w:rFonts w:asciiTheme="majorBidi" w:hAnsiTheme="majorBidi" w:cstheme="majorBidi"/>
          <w:sz w:val="24"/>
          <w:szCs w:val="24"/>
        </w:rPr>
        <w:t xml:space="preserve"> partir de la veine jugulaire immédiatement après insémination artificielle. Au laboratoire, et après centrifugation du sang prélevé, des analyses biochimiques ont été effectuées. Ces analyses ont porté sur le dosage du phosphore, du calcium, du glucose, de l’urée. Nos résultats témoignent d’un taux de réussite à la première insémination artificielle, de l’ordre de 37 %. Les différents dosages du phosphore, calcium, glucose, urée, présentent les résultats suivant : dans le cas d’</w:t>
      </w:r>
      <w:proofErr w:type="spellStart"/>
      <w:r w:rsidRPr="00A370A2">
        <w:rPr>
          <w:rFonts w:asciiTheme="majorBidi" w:hAnsiTheme="majorBidi" w:cstheme="majorBidi"/>
          <w:sz w:val="24"/>
          <w:szCs w:val="24"/>
        </w:rPr>
        <w:t>ypophosphorémie</w:t>
      </w:r>
      <w:proofErr w:type="spellEnd"/>
      <w:r w:rsidRPr="00A370A2">
        <w:rPr>
          <w:rFonts w:asciiTheme="majorBidi" w:hAnsiTheme="majorBidi" w:cstheme="majorBidi"/>
          <w:sz w:val="24"/>
          <w:szCs w:val="24"/>
        </w:rPr>
        <w:t xml:space="preserve"> le taux d’échec </w:t>
      </w:r>
      <w:proofErr w:type="gramStart"/>
      <w:r w:rsidRPr="00A370A2">
        <w:rPr>
          <w:rFonts w:asciiTheme="majorBidi" w:hAnsiTheme="majorBidi" w:cstheme="majorBidi"/>
          <w:sz w:val="24"/>
          <w:szCs w:val="24"/>
        </w:rPr>
        <w:t>de I.A</w:t>
      </w:r>
      <w:proofErr w:type="gramEnd"/>
      <w:r w:rsidRPr="00A370A2">
        <w:rPr>
          <w:rFonts w:asciiTheme="majorBidi" w:hAnsiTheme="majorBidi" w:cstheme="majorBidi"/>
          <w:sz w:val="24"/>
          <w:szCs w:val="24"/>
        </w:rPr>
        <w:t xml:space="preserve">. était de 58 %, concernant l’hypocalcémie nous avons enregistré un taux d’échec important de l’ordre de 67.85%, pour l’hypoglycémie et l’hyperglycémie nous avons noté un taux d’échec de 66.66%, 87.5% respectivement ; enfin, dans le cas d’une hypo-urémie, le taux de réussite de l’I.A. n’était que de 12.5%. </w:t>
      </w:r>
      <w:proofErr w:type="gramStart"/>
      <w:r w:rsidRPr="00A370A2">
        <w:rPr>
          <w:rFonts w:asciiTheme="majorBidi" w:hAnsiTheme="majorBidi" w:cstheme="majorBidi"/>
          <w:sz w:val="24"/>
          <w:szCs w:val="24"/>
        </w:rPr>
        <w:t>ces</w:t>
      </w:r>
      <w:proofErr w:type="gramEnd"/>
      <w:r w:rsidRPr="00A370A2">
        <w:rPr>
          <w:rFonts w:asciiTheme="majorBidi" w:hAnsiTheme="majorBidi" w:cstheme="majorBidi"/>
          <w:sz w:val="24"/>
          <w:szCs w:val="24"/>
        </w:rPr>
        <w:t xml:space="preserve"> résultats sont comparables aux résultats publiés par les différents auteurs dans ce domaine. Une prise de température nous a permis de noter un taux d’échec important, surtout à des températures supérieures à 16 °c. </w:t>
      </w:r>
      <w:proofErr w:type="gramStart"/>
      <w:r w:rsidRPr="00A370A2">
        <w:rPr>
          <w:rFonts w:asciiTheme="majorBidi" w:hAnsiTheme="majorBidi" w:cstheme="majorBidi"/>
          <w:sz w:val="24"/>
          <w:szCs w:val="24"/>
        </w:rPr>
        <w:t>quand</w:t>
      </w:r>
      <w:proofErr w:type="gramEnd"/>
      <w:r w:rsidRPr="00A370A2">
        <w:rPr>
          <w:rFonts w:asciiTheme="majorBidi" w:hAnsiTheme="majorBidi" w:cstheme="majorBidi"/>
          <w:sz w:val="24"/>
          <w:szCs w:val="24"/>
        </w:rPr>
        <w:t xml:space="preserve"> à l’état corporel du troupeau évalué au cours de cette expérimentation, il en ressort ce qui suit : plus la note de l’état corporel est bonne, plus les résultats des indices de fertilité sont positifs</w:t>
      </w:r>
    </w:p>
    <w:sectPr w:rsidR="00AA7F0A" w:rsidRPr="00A370A2"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370A2"/>
    <w:rsid w:val="00A370A2"/>
    <w:rsid w:val="00AA7F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0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2035</Characters>
  <Application>Microsoft Office Word</Application>
  <DocSecurity>0</DocSecurity>
  <Lines>16</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2019-11-05T09:03:00Z</dcterms:created>
  <dcterms:modified xsi:type="dcterms:W3CDTF">2019-11-05T09:04:00Z</dcterms:modified>
</cp:coreProperties>
</file>