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53" w:rsidRDefault="001B3597" w:rsidP="00B81098">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B81098" w:rsidRPr="00B81098">
        <w:rPr>
          <w:rFonts w:asciiTheme="majorBidi" w:hAnsiTheme="majorBidi" w:cstheme="majorBidi"/>
          <w:b/>
          <w:bCs/>
          <w:sz w:val="28"/>
          <w:szCs w:val="28"/>
        </w:rPr>
        <w:t>Conduite d'élevage du poulet de chair</w:t>
      </w:r>
    </w:p>
    <w:p w:rsidR="00E94EB0" w:rsidRDefault="00E94EB0" w:rsidP="00B8109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B81098" w:rsidRDefault="00B81098" w:rsidP="006342E8">
      <w:pPr>
        <w:jc w:val="both"/>
        <w:rPr>
          <w:rFonts w:asciiTheme="majorBidi" w:hAnsiTheme="majorBidi" w:cstheme="majorBidi"/>
          <w:sz w:val="24"/>
          <w:szCs w:val="24"/>
        </w:rPr>
      </w:pPr>
      <w:r w:rsidRPr="00B81098">
        <w:rPr>
          <w:rFonts w:asciiTheme="majorBidi" w:hAnsiTheme="majorBidi" w:cstheme="majorBidi"/>
          <w:sz w:val="24"/>
          <w:szCs w:val="24"/>
        </w:rPr>
        <w:t>L’objet de ce travail est une synthèse bibliographique issue des connaissances dans le domaine de la production du poulet de chair, du point de vue zootechnique (normes d’élevage), hygiénique et sanitaire. Un suivi d’élevage dans la wilaya de Bordj Bou Arreridj illustre le devenir de ces normes dans les conditions d’élevage locales.</w:t>
      </w:r>
    </w:p>
    <w:p w:rsidR="006342E8" w:rsidRPr="00B81098" w:rsidRDefault="006342E8" w:rsidP="006342E8">
      <w:pPr>
        <w:jc w:val="both"/>
        <w:rPr>
          <w:rFonts w:asciiTheme="majorBidi" w:hAnsiTheme="majorBidi" w:cstheme="majorBidi"/>
          <w:b/>
          <w:bCs/>
          <w:sz w:val="28"/>
          <w:szCs w:val="28"/>
        </w:rPr>
      </w:pPr>
      <w:r w:rsidRPr="00B81098">
        <w:rPr>
          <w:rFonts w:asciiTheme="majorBidi" w:hAnsiTheme="majorBidi" w:cstheme="majorBidi"/>
          <w:b/>
          <w:bCs/>
          <w:sz w:val="24"/>
          <w:szCs w:val="24"/>
        </w:rPr>
        <w:t>Abstract</w:t>
      </w:r>
      <w:r w:rsidRPr="00B81098">
        <w:rPr>
          <w:rFonts w:asciiTheme="majorBidi" w:hAnsiTheme="majorBidi" w:cstheme="majorBidi"/>
          <w:b/>
          <w:bCs/>
          <w:sz w:val="28"/>
          <w:szCs w:val="28"/>
        </w:rPr>
        <w:t>:</w:t>
      </w:r>
    </w:p>
    <w:p w:rsidR="00014BDB" w:rsidRPr="00B9644B" w:rsidRDefault="00B81098" w:rsidP="00B81098">
      <w:pPr>
        <w:jc w:val="both"/>
        <w:rPr>
          <w:rFonts w:asciiTheme="majorBidi" w:hAnsiTheme="majorBidi" w:cstheme="majorBidi"/>
          <w:sz w:val="24"/>
          <w:szCs w:val="24"/>
          <w:lang w:val="en-US"/>
        </w:rPr>
      </w:pPr>
      <w:r w:rsidRPr="00B81098">
        <w:rPr>
          <w:rFonts w:asciiTheme="majorBidi" w:hAnsiTheme="majorBidi" w:cstheme="majorBidi"/>
          <w:sz w:val="24"/>
          <w:szCs w:val="24"/>
          <w:lang w:val="en-US"/>
        </w:rPr>
        <w:t xml:space="preserve">The object of this memory is the bibliographical synthesis of knowledge in the field of the production of table fowl, from the </w:t>
      </w:r>
      <w:proofErr w:type="spellStart"/>
      <w:r w:rsidRPr="00B81098">
        <w:rPr>
          <w:rFonts w:asciiTheme="majorBidi" w:hAnsiTheme="majorBidi" w:cstheme="majorBidi"/>
          <w:sz w:val="24"/>
          <w:szCs w:val="24"/>
          <w:lang w:val="en-US"/>
        </w:rPr>
        <w:t>zootechnical</w:t>
      </w:r>
      <w:proofErr w:type="spellEnd"/>
      <w:r w:rsidRPr="00B81098">
        <w:rPr>
          <w:rFonts w:asciiTheme="majorBidi" w:hAnsiTheme="majorBidi" w:cstheme="majorBidi"/>
          <w:sz w:val="24"/>
          <w:szCs w:val="24"/>
          <w:lang w:val="en-US"/>
        </w:rPr>
        <w:t xml:space="preserve"> point of view (standards of breeding), hygienic and medical. A follow-up of breeding in the </w:t>
      </w:r>
      <w:proofErr w:type="spellStart"/>
      <w:r w:rsidRPr="00B81098">
        <w:rPr>
          <w:rFonts w:asciiTheme="majorBidi" w:hAnsiTheme="majorBidi" w:cstheme="majorBidi"/>
          <w:sz w:val="24"/>
          <w:szCs w:val="24"/>
          <w:lang w:val="en-US"/>
        </w:rPr>
        <w:t>wilaya</w:t>
      </w:r>
      <w:proofErr w:type="spellEnd"/>
      <w:r w:rsidRPr="00B81098">
        <w:rPr>
          <w:rFonts w:asciiTheme="majorBidi" w:hAnsiTheme="majorBidi" w:cstheme="majorBidi"/>
          <w:sz w:val="24"/>
          <w:szCs w:val="24"/>
          <w:lang w:val="en-US"/>
        </w:rPr>
        <w:t xml:space="preserve"> of </w:t>
      </w:r>
      <w:proofErr w:type="spellStart"/>
      <w:r w:rsidRPr="00B81098">
        <w:rPr>
          <w:rFonts w:asciiTheme="majorBidi" w:hAnsiTheme="majorBidi" w:cstheme="majorBidi"/>
          <w:sz w:val="24"/>
          <w:szCs w:val="24"/>
          <w:lang w:val="en-US"/>
        </w:rPr>
        <w:t>Bordj</w:t>
      </w:r>
      <w:proofErr w:type="spellEnd"/>
      <w:r w:rsidRPr="00B81098">
        <w:rPr>
          <w:rFonts w:asciiTheme="majorBidi" w:hAnsiTheme="majorBidi" w:cstheme="majorBidi"/>
          <w:sz w:val="24"/>
          <w:szCs w:val="24"/>
          <w:lang w:val="en-US"/>
        </w:rPr>
        <w:t xml:space="preserve"> </w:t>
      </w:r>
      <w:proofErr w:type="spellStart"/>
      <w:r w:rsidRPr="00B81098">
        <w:rPr>
          <w:rFonts w:asciiTheme="majorBidi" w:hAnsiTheme="majorBidi" w:cstheme="majorBidi"/>
          <w:sz w:val="24"/>
          <w:szCs w:val="24"/>
          <w:lang w:val="en-US"/>
        </w:rPr>
        <w:t>Bou</w:t>
      </w:r>
      <w:proofErr w:type="spellEnd"/>
      <w:r w:rsidRPr="00B81098">
        <w:rPr>
          <w:rFonts w:asciiTheme="majorBidi" w:hAnsiTheme="majorBidi" w:cstheme="majorBidi"/>
          <w:sz w:val="24"/>
          <w:szCs w:val="24"/>
          <w:lang w:val="en-US"/>
        </w:rPr>
        <w:t xml:space="preserve"> </w:t>
      </w:r>
      <w:proofErr w:type="spellStart"/>
      <w:r w:rsidRPr="00B81098">
        <w:rPr>
          <w:rFonts w:asciiTheme="majorBidi" w:hAnsiTheme="majorBidi" w:cstheme="majorBidi"/>
          <w:sz w:val="24"/>
          <w:szCs w:val="24"/>
          <w:lang w:val="en-US"/>
        </w:rPr>
        <w:t>Arreridj</w:t>
      </w:r>
      <w:proofErr w:type="spellEnd"/>
      <w:r w:rsidRPr="00B81098">
        <w:rPr>
          <w:rFonts w:asciiTheme="majorBidi" w:hAnsiTheme="majorBidi" w:cstheme="majorBidi"/>
          <w:sz w:val="24"/>
          <w:szCs w:val="24"/>
          <w:lang w:val="en-US"/>
        </w:rPr>
        <w:t xml:space="preserve"> illustrates to become it of these standards under the local conditions of breeding</w:t>
      </w:r>
    </w:p>
    <w:sectPr w:rsidR="00014BDB" w:rsidRPr="00B9644B"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C7421"/>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67A3"/>
    <w:rsid w:val="00BB246D"/>
    <w:rsid w:val="00BB5A82"/>
    <w:rsid w:val="00BB769E"/>
    <w:rsid w:val="00BB7753"/>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0D1C"/>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648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2020-12-16T08:57:00Z</dcterms:created>
  <dcterms:modified xsi:type="dcterms:W3CDTF">2020-12-16T08:57:00Z</dcterms:modified>
</cp:coreProperties>
</file>