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92" w:rsidRPr="0071095B" w:rsidRDefault="00293792" w:rsidP="00617A72">
      <w:pPr>
        <w:jc w:val="both"/>
        <w:rPr>
          <w:rFonts w:asciiTheme="majorBidi" w:hAnsiTheme="majorBidi" w:cstheme="majorBidi"/>
          <w:b/>
          <w:bCs/>
          <w:color w:val="000000"/>
          <w:sz w:val="28"/>
          <w:szCs w:val="28"/>
          <w:shd w:val="clear" w:color="auto" w:fill="FFFFFF"/>
        </w:rPr>
      </w:pPr>
      <w:r w:rsidRPr="00D95EFC">
        <w:rPr>
          <w:rFonts w:asciiTheme="majorBidi" w:hAnsiTheme="majorBidi" w:cstheme="majorBidi"/>
          <w:b/>
          <w:bCs/>
          <w:color w:val="000000"/>
          <w:sz w:val="28"/>
          <w:szCs w:val="28"/>
          <w:shd w:val="clear" w:color="auto" w:fill="FFFFFF"/>
        </w:rPr>
        <w:t>Résumé du PFE </w:t>
      </w:r>
      <w:proofErr w:type="gramStart"/>
      <w:r w:rsidRPr="00D95EFC">
        <w:rPr>
          <w:rFonts w:asciiTheme="majorBidi" w:hAnsiTheme="majorBidi" w:cstheme="majorBidi"/>
          <w:b/>
          <w:bCs/>
          <w:color w:val="000000"/>
          <w:sz w:val="28"/>
          <w:szCs w:val="28"/>
          <w:shd w:val="clear" w:color="auto" w:fill="FFFFFF"/>
        </w:rPr>
        <w:t>:sous</w:t>
      </w:r>
      <w:proofErr w:type="gramEnd"/>
      <w:r w:rsidRPr="00D95EFC">
        <w:rPr>
          <w:rFonts w:asciiTheme="majorBidi" w:hAnsiTheme="majorBidi" w:cstheme="majorBidi"/>
          <w:b/>
          <w:bCs/>
          <w:color w:val="000000"/>
          <w:sz w:val="28"/>
          <w:szCs w:val="28"/>
          <w:shd w:val="clear" w:color="auto" w:fill="FFFFFF"/>
        </w:rPr>
        <w:t xml:space="preserve"> titre : </w:t>
      </w:r>
      <w:r w:rsidR="0071095B" w:rsidRPr="0071095B">
        <w:rPr>
          <w:rFonts w:asciiTheme="majorBidi" w:hAnsiTheme="majorBidi" w:cstheme="majorBidi"/>
          <w:b/>
          <w:bCs/>
          <w:color w:val="000000"/>
          <w:sz w:val="28"/>
          <w:szCs w:val="28"/>
          <w:shd w:val="clear" w:color="auto" w:fill="FFFFFF"/>
        </w:rPr>
        <w:t xml:space="preserve">Effet des cycles (1 - 2) sur la composition chimique du </w:t>
      </w:r>
      <w:proofErr w:type="spellStart"/>
      <w:r w:rsidR="0071095B" w:rsidRPr="0071095B">
        <w:rPr>
          <w:rFonts w:asciiTheme="majorBidi" w:hAnsiTheme="majorBidi" w:cstheme="majorBidi"/>
          <w:b/>
          <w:bCs/>
          <w:color w:val="000000"/>
          <w:sz w:val="28"/>
          <w:szCs w:val="28"/>
          <w:shd w:val="clear" w:color="auto" w:fill="FFFFFF"/>
        </w:rPr>
        <w:t>trefle</w:t>
      </w:r>
      <w:proofErr w:type="spellEnd"/>
      <w:r w:rsidR="0071095B" w:rsidRPr="0071095B">
        <w:rPr>
          <w:rFonts w:asciiTheme="majorBidi" w:hAnsiTheme="majorBidi" w:cstheme="majorBidi"/>
          <w:b/>
          <w:bCs/>
          <w:color w:val="000000"/>
          <w:sz w:val="28"/>
          <w:szCs w:val="28"/>
          <w:shd w:val="clear" w:color="auto" w:fill="FFFFFF"/>
        </w:rPr>
        <w:t xml:space="preserve"> d'</w:t>
      </w:r>
      <w:proofErr w:type="spellStart"/>
      <w:r w:rsidR="0071095B" w:rsidRPr="0071095B">
        <w:rPr>
          <w:rFonts w:asciiTheme="majorBidi" w:hAnsiTheme="majorBidi" w:cstheme="majorBidi"/>
          <w:b/>
          <w:bCs/>
          <w:color w:val="000000"/>
          <w:sz w:val="28"/>
          <w:szCs w:val="28"/>
          <w:shd w:val="clear" w:color="auto" w:fill="FFFFFF"/>
        </w:rPr>
        <w:t>alexandrie</w:t>
      </w:r>
      <w:proofErr w:type="spellEnd"/>
      <w:r w:rsidR="0071095B" w:rsidRPr="0071095B">
        <w:rPr>
          <w:rFonts w:asciiTheme="majorBidi" w:hAnsiTheme="majorBidi" w:cstheme="majorBidi"/>
          <w:b/>
          <w:bCs/>
          <w:color w:val="000000"/>
          <w:sz w:val="28"/>
          <w:szCs w:val="28"/>
          <w:shd w:val="clear" w:color="auto" w:fill="FFFFFF"/>
        </w:rPr>
        <w:t xml:space="preserve"> et de l'avoine</w:t>
      </w:r>
    </w:p>
    <w:p w:rsidR="00293792" w:rsidRPr="00D95EFC" w:rsidRDefault="00293792" w:rsidP="00617A72">
      <w:pPr>
        <w:jc w:val="both"/>
        <w:rPr>
          <w:rFonts w:asciiTheme="majorBidi" w:hAnsiTheme="majorBidi" w:cstheme="majorBidi"/>
          <w:b/>
          <w:bCs/>
          <w:color w:val="000000"/>
          <w:sz w:val="24"/>
          <w:szCs w:val="24"/>
          <w:shd w:val="clear" w:color="auto" w:fill="FFFFFF"/>
        </w:rPr>
      </w:pPr>
    </w:p>
    <w:p w:rsidR="00293792" w:rsidRDefault="00293792" w:rsidP="00617A72">
      <w:pPr>
        <w:jc w:val="both"/>
        <w:rPr>
          <w:rFonts w:asciiTheme="majorBidi" w:hAnsiTheme="majorBidi" w:cstheme="majorBidi"/>
          <w:b/>
          <w:bCs/>
          <w:color w:val="000000"/>
          <w:sz w:val="24"/>
          <w:szCs w:val="24"/>
          <w:shd w:val="clear" w:color="auto" w:fill="FFFFFF"/>
        </w:rPr>
      </w:pPr>
    </w:p>
    <w:p w:rsidR="00617A72" w:rsidRDefault="0071095B" w:rsidP="00617A72">
      <w:pPr>
        <w:jc w:val="both"/>
        <w:rPr>
          <w:rFonts w:asciiTheme="majorBidi" w:hAnsiTheme="majorBidi" w:cstheme="majorBidi"/>
          <w:color w:val="000000"/>
          <w:sz w:val="24"/>
          <w:szCs w:val="24"/>
          <w:shd w:val="clear" w:color="auto" w:fill="FFFFFF"/>
        </w:rPr>
      </w:pPr>
      <w:r w:rsidRPr="0071095B">
        <w:rPr>
          <w:rFonts w:asciiTheme="majorBidi" w:hAnsiTheme="majorBidi" w:cstheme="majorBidi"/>
          <w:b/>
          <w:bCs/>
          <w:color w:val="000000"/>
          <w:sz w:val="24"/>
          <w:szCs w:val="24"/>
          <w:shd w:val="clear" w:color="auto" w:fill="FFFFFF"/>
        </w:rPr>
        <w:t>Résumé</w:t>
      </w:r>
      <w:r w:rsidRPr="0071095B">
        <w:rPr>
          <w:rFonts w:asciiTheme="majorBidi" w:hAnsiTheme="majorBidi" w:cstheme="majorBidi"/>
          <w:color w:val="000000"/>
          <w:sz w:val="24"/>
          <w:szCs w:val="24"/>
          <w:shd w:val="clear" w:color="auto" w:fill="FFFFFF"/>
        </w:rPr>
        <w:t xml:space="preserve"> : </w:t>
      </w:r>
    </w:p>
    <w:p w:rsidR="0071095B" w:rsidRPr="0071095B" w:rsidRDefault="0071095B" w:rsidP="00617A72">
      <w:pPr>
        <w:jc w:val="both"/>
        <w:rPr>
          <w:rFonts w:asciiTheme="majorBidi" w:hAnsiTheme="majorBidi" w:cstheme="majorBidi"/>
          <w:color w:val="000000"/>
          <w:sz w:val="24"/>
          <w:szCs w:val="24"/>
        </w:rPr>
      </w:pPr>
      <w:r w:rsidRPr="0071095B">
        <w:rPr>
          <w:rFonts w:asciiTheme="majorBidi" w:hAnsiTheme="majorBidi" w:cstheme="majorBidi"/>
          <w:color w:val="000000"/>
          <w:sz w:val="24"/>
          <w:szCs w:val="24"/>
          <w:shd w:val="clear" w:color="auto" w:fill="FFFFFF"/>
        </w:rPr>
        <w:t>Les fourrages représentent la principale source d’alimentation des ruminants, qui peuvent être cultivés ou non Deux grandes familles principales se distinguent dans l’alimentation des ruminants dont les graminées et les légumineuses. Les plantes fourragères se composent d’eau et de matière sèche. Cette dernière comprend la matière sèche et minérale, matière azotée totale, matière grasse et cellulose brute. La composition chimique des fourrages varie selon la famille botanique ainsi que selon le cycle d’exploitation.</w:t>
      </w:r>
      <w:r w:rsidRPr="0071095B">
        <w:rPr>
          <w:rFonts w:asciiTheme="majorBidi" w:hAnsiTheme="majorBidi" w:cstheme="majorBidi"/>
          <w:color w:val="000000"/>
          <w:sz w:val="24"/>
          <w:szCs w:val="24"/>
        </w:rPr>
        <w:br/>
      </w:r>
    </w:p>
    <w:p w:rsidR="0071095B" w:rsidRPr="0071095B" w:rsidRDefault="0071095B" w:rsidP="00617A72">
      <w:pPr>
        <w:jc w:val="both"/>
        <w:rPr>
          <w:rFonts w:asciiTheme="majorBidi" w:hAnsiTheme="majorBidi" w:cstheme="majorBidi"/>
          <w:color w:val="000000"/>
          <w:sz w:val="24"/>
          <w:szCs w:val="24"/>
        </w:rPr>
      </w:pPr>
    </w:p>
    <w:p w:rsidR="0071095B" w:rsidRPr="0071095B" w:rsidRDefault="0071095B" w:rsidP="00617A72">
      <w:pPr>
        <w:jc w:val="both"/>
        <w:rPr>
          <w:rFonts w:asciiTheme="majorBidi" w:hAnsiTheme="majorBidi" w:cstheme="majorBidi"/>
          <w:color w:val="000000"/>
          <w:sz w:val="24"/>
          <w:szCs w:val="24"/>
        </w:rPr>
      </w:pPr>
    </w:p>
    <w:p w:rsidR="009F5084" w:rsidRPr="00617A72" w:rsidRDefault="0071095B" w:rsidP="00617A72">
      <w:pPr>
        <w:jc w:val="both"/>
        <w:rPr>
          <w:rFonts w:asciiTheme="majorBidi" w:hAnsiTheme="majorBidi" w:cstheme="majorBidi"/>
          <w:sz w:val="24"/>
          <w:szCs w:val="24"/>
          <w:lang w:val="en-US"/>
        </w:rPr>
      </w:pPr>
      <w:r w:rsidRPr="00617A72">
        <w:rPr>
          <w:rFonts w:asciiTheme="majorBidi" w:hAnsiTheme="majorBidi" w:cstheme="majorBidi"/>
          <w:color w:val="000000"/>
          <w:sz w:val="24"/>
          <w:szCs w:val="24"/>
          <w:lang w:val="en-US"/>
        </w:rPr>
        <w:br/>
      </w:r>
      <w:r w:rsidRPr="00617A72">
        <w:rPr>
          <w:rFonts w:asciiTheme="majorBidi" w:hAnsiTheme="majorBidi" w:cstheme="majorBidi"/>
          <w:color w:val="000000"/>
          <w:sz w:val="24"/>
          <w:szCs w:val="24"/>
          <w:lang w:val="en-US"/>
        </w:rPr>
        <w:br/>
      </w:r>
      <w:proofErr w:type="gramStart"/>
      <w:r w:rsidRPr="00617A72">
        <w:rPr>
          <w:rFonts w:asciiTheme="majorBidi" w:hAnsiTheme="majorBidi" w:cstheme="majorBidi"/>
          <w:b/>
          <w:bCs/>
          <w:color w:val="000000"/>
          <w:sz w:val="24"/>
          <w:szCs w:val="24"/>
          <w:shd w:val="clear" w:color="auto" w:fill="FFFFFF"/>
          <w:lang w:val="en-US"/>
        </w:rPr>
        <w:t>Abstract </w:t>
      </w:r>
      <w:r w:rsidRPr="00617A72">
        <w:rPr>
          <w:rFonts w:asciiTheme="majorBidi" w:hAnsiTheme="majorBidi" w:cstheme="majorBidi"/>
          <w:b/>
          <w:bCs/>
          <w:color w:val="000000"/>
          <w:sz w:val="24"/>
          <w:szCs w:val="24"/>
          <w:lang w:val="en-US"/>
        </w:rPr>
        <w:t>:</w:t>
      </w:r>
      <w:proofErr w:type="gramEnd"/>
      <w:r w:rsidRPr="00617A72">
        <w:rPr>
          <w:rFonts w:asciiTheme="majorBidi" w:hAnsiTheme="majorBidi" w:cstheme="majorBidi"/>
          <w:color w:val="000000"/>
          <w:sz w:val="24"/>
          <w:szCs w:val="24"/>
          <w:lang w:val="en-US"/>
        </w:rPr>
        <w:br/>
      </w:r>
      <w:r w:rsidRPr="00617A72">
        <w:rPr>
          <w:rFonts w:asciiTheme="majorBidi" w:hAnsiTheme="majorBidi" w:cstheme="majorBidi"/>
          <w:color w:val="000000"/>
          <w:sz w:val="24"/>
          <w:szCs w:val="24"/>
          <w:shd w:val="clear" w:color="auto" w:fill="FFFFFF"/>
          <w:lang w:val="en-US"/>
        </w:rPr>
        <w:t>Provender represents the main source of feeding of ruminants, which can be cultivated or not Two big main families distinguish themselves in the feeding of the ruminants among which grasses and leguminous plants. The fodder plants are made up of water and dry material. This last includes fag and mineral material, the complete nitrogenous material, fat and the raw cellulose. The chemical composition of provender varies according to the botanical family as well as the cycled' working.</w:t>
      </w:r>
    </w:p>
    <w:sectPr w:rsidR="009F5084" w:rsidRPr="00617A7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174D26"/>
    <w:rsid w:val="00271107"/>
    <w:rsid w:val="00293792"/>
    <w:rsid w:val="005B4176"/>
    <w:rsid w:val="00617A72"/>
    <w:rsid w:val="0071095B"/>
    <w:rsid w:val="008328E9"/>
    <w:rsid w:val="00941F6E"/>
    <w:rsid w:val="00997191"/>
    <w:rsid w:val="00A16DC9"/>
    <w:rsid w:val="00D95E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979</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5</cp:revision>
  <dcterms:created xsi:type="dcterms:W3CDTF">2019-12-10T13:04:00Z</dcterms:created>
  <dcterms:modified xsi:type="dcterms:W3CDTF">2020-12-21T09:10:00Z</dcterms:modified>
</cp:coreProperties>
</file>