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84649B" w:rsidRDefault="0038268C" w:rsidP="0084649B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84649B" w:rsidRPr="0084649B">
        <w:rPr>
          <w:rFonts w:asciiTheme="majorBidi" w:eastAsia="Times New Roman" w:hAnsiTheme="majorBidi" w:cstheme="majorBidi"/>
          <w:b/>
          <w:bCs/>
          <w:sz w:val="28"/>
          <w:szCs w:val="28"/>
        </w:rPr>
        <w:t>Anatomie chez la vache laitière</w:t>
      </w:r>
    </w:p>
    <w:p w:rsidR="00954BE0" w:rsidRPr="007D1EA5" w:rsidRDefault="00954BE0" w:rsidP="0084649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84649B" w:rsidRDefault="0084649B" w:rsidP="0084649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84649B">
        <w:rPr>
          <w:rFonts w:asciiTheme="majorBidi" w:hAnsiTheme="majorBidi" w:cstheme="majorBidi"/>
          <w:sz w:val="24"/>
          <w:szCs w:val="24"/>
        </w:rPr>
        <w:t xml:space="preserve">La prévalence de la cétose des vaches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laitiéres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est de 20%, selon cette enquête. Elle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ateint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le plus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fréquement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les vaches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laitiéres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multipart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hautes productrices, Cette affection se retrouve le plus souvent en hiver. La forme clinique est la forme la plus couramment </w:t>
      </w:r>
      <w:proofErr w:type="spellStart"/>
      <w:r w:rsidRPr="0084649B">
        <w:rPr>
          <w:rFonts w:asciiTheme="majorBidi" w:hAnsiTheme="majorBidi" w:cstheme="majorBidi"/>
          <w:sz w:val="24"/>
          <w:szCs w:val="24"/>
        </w:rPr>
        <w:t>rencontrése</w:t>
      </w:r>
      <w:proofErr w:type="spellEnd"/>
      <w:r w:rsidRPr="0084649B">
        <w:rPr>
          <w:rFonts w:asciiTheme="majorBidi" w:hAnsiTheme="majorBidi" w:cstheme="majorBidi"/>
          <w:sz w:val="24"/>
          <w:szCs w:val="24"/>
        </w:rPr>
        <w:t xml:space="preserve"> (67%) son traitement est favorable dans 45%.</w:t>
      </w:r>
    </w:p>
    <w:sectPr w:rsidR="00DF3BB5" w:rsidRPr="0084649B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4649B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361D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1DD9"/>
    <w:rsid w:val="00E8348F"/>
    <w:rsid w:val="00E83611"/>
    <w:rsid w:val="00E85515"/>
    <w:rsid w:val="00E91503"/>
    <w:rsid w:val="00E916E8"/>
    <w:rsid w:val="00E93855"/>
    <w:rsid w:val="00E93F86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2020-12-28T09:06:00Z</dcterms:created>
  <dcterms:modified xsi:type="dcterms:W3CDTF">2020-12-28T09:06:00Z</dcterms:modified>
</cp:coreProperties>
</file>