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A1" w:rsidRDefault="0038268C" w:rsidP="00CE71A1">
      <w:pPr>
        <w:rPr>
          <w:rFonts w:asciiTheme="majorBidi" w:hAnsiTheme="majorBidi" w:cstheme="majorBidi"/>
          <w:b/>
          <w:bCs/>
          <w:sz w:val="24"/>
          <w:szCs w:val="24"/>
        </w:rPr>
      </w:pPr>
      <w:r w:rsidRPr="0038268C">
        <w:rPr>
          <w:rFonts w:asciiTheme="majorBidi" w:eastAsia="Times New Roman" w:hAnsiTheme="majorBidi" w:cstheme="majorBidi"/>
          <w:b/>
          <w:bCs/>
          <w:sz w:val="28"/>
          <w:szCs w:val="28"/>
          <w:lang w:eastAsia="fr-FR"/>
        </w:rPr>
        <w:t xml:space="preserve">Résumé du PFE : sous titre : </w:t>
      </w:r>
      <w:r w:rsidR="00CE71A1" w:rsidRPr="00CE71A1">
        <w:rPr>
          <w:rFonts w:asciiTheme="majorBidi" w:hAnsiTheme="majorBidi" w:cstheme="majorBidi"/>
          <w:b/>
          <w:bCs/>
          <w:sz w:val="28"/>
          <w:szCs w:val="28"/>
        </w:rPr>
        <w:t>Etude de la dysplasie coxo-fémorale chez le chien et de son traitement chirurgical</w:t>
      </w:r>
      <w:r w:rsidR="00CE71A1">
        <w:rPr>
          <w:rFonts w:asciiTheme="majorBidi" w:hAnsiTheme="majorBidi" w:cstheme="majorBidi"/>
          <w:b/>
          <w:bCs/>
          <w:sz w:val="24"/>
          <w:szCs w:val="24"/>
        </w:rPr>
        <w:t xml:space="preserve"> </w:t>
      </w:r>
    </w:p>
    <w:p w:rsidR="00420A42" w:rsidRPr="00420A42" w:rsidRDefault="00420A42" w:rsidP="00CE71A1">
      <w:pPr>
        <w:rPr>
          <w:rFonts w:asciiTheme="majorBidi" w:hAnsiTheme="majorBidi" w:cstheme="majorBidi"/>
          <w:sz w:val="24"/>
          <w:szCs w:val="24"/>
        </w:rPr>
      </w:pPr>
      <w:r w:rsidRPr="00420A42">
        <w:rPr>
          <w:rFonts w:asciiTheme="majorBidi" w:hAnsiTheme="majorBidi" w:cstheme="majorBidi"/>
          <w:b/>
          <w:bCs/>
          <w:sz w:val="24"/>
          <w:szCs w:val="24"/>
        </w:rPr>
        <w:t>Résumé</w:t>
      </w:r>
      <w:r w:rsidRPr="00420A42">
        <w:rPr>
          <w:rFonts w:asciiTheme="majorBidi" w:hAnsiTheme="majorBidi" w:cstheme="majorBidi"/>
          <w:sz w:val="24"/>
          <w:szCs w:val="24"/>
        </w:rPr>
        <w:t xml:space="preserve"> : </w:t>
      </w:r>
    </w:p>
    <w:p w:rsidR="00060B59" w:rsidRPr="00CE71A1" w:rsidRDefault="00CE71A1" w:rsidP="00F92432">
      <w:pPr>
        <w:rPr>
          <w:rFonts w:asciiTheme="majorBidi" w:hAnsiTheme="majorBidi" w:cstheme="majorBidi"/>
          <w:sz w:val="24"/>
          <w:szCs w:val="24"/>
        </w:rPr>
      </w:pPr>
      <w:r w:rsidRPr="00CE71A1">
        <w:rPr>
          <w:rFonts w:asciiTheme="majorBidi" w:hAnsiTheme="majorBidi" w:cstheme="majorBidi"/>
          <w:sz w:val="24"/>
          <w:szCs w:val="24"/>
        </w:rPr>
        <w:t xml:space="preserve">La dysplasie coxo-fémorale est une anomalie du développement de la hanche, qui entraîne une instabilité de cette articulation pouvant être génératrice d'arthrose. Son déterminisme est polygénique, avec un effet de seuil. Son expression est variable et fortement influencée par des facteurs extérieurs. En effet cette articulation peut être modulée par différents facteurs (musculature, poids...) aggravant ou masquant les lésions. Ainsi certains animaux peuvent présenter, dès leurs plus jeune âge, une forme extrêmement douloureuse, alors que d'autres présentes des troubles locomoteurs que très tardivement (après 6 - 7 ans) en relation avec l'arthrose. </w:t>
      </w:r>
      <w:proofErr w:type="gramStart"/>
      <w:r w:rsidRPr="00CE71A1">
        <w:rPr>
          <w:rFonts w:asciiTheme="majorBidi" w:hAnsiTheme="majorBidi" w:cstheme="majorBidi"/>
          <w:sz w:val="24"/>
          <w:szCs w:val="24"/>
        </w:rPr>
        <w:t>l'aspect</w:t>
      </w:r>
      <w:proofErr w:type="gramEnd"/>
      <w:r w:rsidRPr="00CE71A1">
        <w:rPr>
          <w:rFonts w:asciiTheme="majorBidi" w:hAnsiTheme="majorBidi" w:cstheme="majorBidi"/>
          <w:sz w:val="24"/>
          <w:szCs w:val="24"/>
        </w:rPr>
        <w:t xml:space="preserve"> invalidant et la fréquence de cette affection ont conduit à de nombreuses études tant sur son </w:t>
      </w:r>
      <w:proofErr w:type="spellStart"/>
      <w:r w:rsidRPr="00CE71A1">
        <w:rPr>
          <w:rFonts w:asciiTheme="majorBidi" w:hAnsiTheme="majorBidi" w:cstheme="majorBidi"/>
          <w:sz w:val="24"/>
          <w:szCs w:val="24"/>
        </w:rPr>
        <w:t>étio</w:t>
      </w:r>
      <w:proofErr w:type="spellEnd"/>
      <w:r w:rsidRPr="00CE71A1">
        <w:rPr>
          <w:rFonts w:asciiTheme="majorBidi" w:hAnsiTheme="majorBidi" w:cstheme="majorBidi"/>
          <w:sz w:val="24"/>
          <w:szCs w:val="24"/>
        </w:rPr>
        <w:t xml:space="preserve">-pathogénie, son diagnostic, les moyens prophylactiques que sur les traitements médicaux ou chirurgicaux envisageables dont ce mémoire fait une synthèse </w:t>
      </w:r>
      <w:proofErr w:type="spellStart"/>
      <w:r w:rsidRPr="00CE71A1">
        <w:rPr>
          <w:rFonts w:asciiTheme="majorBidi" w:hAnsiTheme="majorBidi" w:cstheme="majorBidi"/>
          <w:sz w:val="24"/>
          <w:szCs w:val="24"/>
        </w:rPr>
        <w:t>succinte</w:t>
      </w:r>
      <w:proofErr w:type="spellEnd"/>
      <w:r w:rsidRPr="00CE71A1">
        <w:rPr>
          <w:rFonts w:asciiTheme="majorBidi" w:hAnsiTheme="majorBidi" w:cstheme="majorBidi"/>
          <w:sz w:val="24"/>
          <w:szCs w:val="24"/>
        </w:rPr>
        <w:t>.</w:t>
      </w:r>
      <w:r w:rsidR="00747E43" w:rsidRPr="00CE71A1">
        <w:rPr>
          <w:rFonts w:asciiTheme="majorBidi" w:hAnsiTheme="majorBidi" w:cstheme="majorBidi"/>
          <w:sz w:val="24"/>
          <w:szCs w:val="24"/>
        </w:rPr>
        <w:br/>
      </w:r>
      <w:r w:rsidR="004A4E5D" w:rsidRPr="00CE71A1">
        <w:rPr>
          <w:rFonts w:asciiTheme="majorBidi" w:hAnsiTheme="majorBidi" w:cstheme="majorBidi"/>
          <w:sz w:val="24"/>
          <w:szCs w:val="24"/>
        </w:rPr>
        <w:br/>
      </w:r>
    </w:p>
    <w:p w:rsidR="00347B05" w:rsidRPr="00CE71A1" w:rsidRDefault="00347B05">
      <w:pPr>
        <w:rPr>
          <w:rFonts w:asciiTheme="majorBidi" w:hAnsiTheme="majorBidi" w:cstheme="majorBidi"/>
          <w:sz w:val="24"/>
          <w:szCs w:val="24"/>
        </w:rPr>
      </w:pPr>
    </w:p>
    <w:sectPr w:rsidR="00347B05" w:rsidRPr="00CE71A1"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101A5E"/>
    <w:rsid w:val="002045D4"/>
    <w:rsid w:val="002D048C"/>
    <w:rsid w:val="00334F11"/>
    <w:rsid w:val="00347B05"/>
    <w:rsid w:val="0038268C"/>
    <w:rsid w:val="003B4EF4"/>
    <w:rsid w:val="00410463"/>
    <w:rsid w:val="00420A42"/>
    <w:rsid w:val="00433ECB"/>
    <w:rsid w:val="004921A4"/>
    <w:rsid w:val="004A4E5D"/>
    <w:rsid w:val="00552825"/>
    <w:rsid w:val="00631FA6"/>
    <w:rsid w:val="00676C5C"/>
    <w:rsid w:val="00747E43"/>
    <w:rsid w:val="007D7F40"/>
    <w:rsid w:val="009C5471"/>
    <w:rsid w:val="00A9579E"/>
    <w:rsid w:val="00C6473F"/>
    <w:rsid w:val="00CE71A1"/>
    <w:rsid w:val="00D67D29"/>
    <w:rsid w:val="00DA4BF5"/>
    <w:rsid w:val="00E32D1A"/>
    <w:rsid w:val="00F66371"/>
    <w:rsid w:val="00F92432"/>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161</Words>
  <Characters>891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20</cp:revision>
  <dcterms:created xsi:type="dcterms:W3CDTF">2019-12-10T08:19:00Z</dcterms:created>
  <dcterms:modified xsi:type="dcterms:W3CDTF">2019-12-16T08:30:00Z</dcterms:modified>
</cp:coreProperties>
</file>